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53212FBC">
                <wp:simplePos x="0" y="0"/>
                <wp:positionH relativeFrom="column">
                  <wp:posOffset>10160</wp:posOffset>
                </wp:positionH>
                <wp:positionV relativeFrom="paragraph">
                  <wp:posOffset>402590</wp:posOffset>
                </wp:positionV>
                <wp:extent cx="5775960" cy="1594485"/>
                <wp:effectExtent l="0" t="0" r="1524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59448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4B774408"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B66145">
                              <w:rPr>
                                <w:rFonts w:ascii="Calibri" w:hAnsi="Calibri" w:cs="Calibri"/>
                                <w:b/>
                                <w:sz w:val="22"/>
                                <w:szCs w:val="22"/>
                              </w:rPr>
                              <w:t>5/2/2025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941DBE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2C68C7">
                              <w:rPr>
                                <w:rFonts w:ascii="Calibri" w:hAnsi="Calibri" w:cs="Calibri"/>
                                <w:b/>
                                <w:sz w:val="22"/>
                                <w:szCs w:val="22"/>
                              </w:rPr>
                              <w:t>APP/24/0</w:t>
                            </w:r>
                            <w:r w:rsidR="00B66145">
                              <w:rPr>
                                <w:rFonts w:ascii="Calibri" w:hAnsi="Calibri" w:cs="Calibri"/>
                                <w:b/>
                                <w:sz w:val="22"/>
                                <w:szCs w:val="22"/>
                              </w:rPr>
                              <w:t>1003</w:t>
                            </w:r>
                          </w:p>
                          <w:p w14:paraId="458D1D24" w14:textId="6C9948AD"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B66145">
                              <w:rPr>
                                <w:rFonts w:ascii="Calibri" w:hAnsi="Calibri" w:cs="Calibri"/>
                                <w:b/>
                                <w:sz w:val="22"/>
                                <w:szCs w:val="22"/>
                              </w:rPr>
                              <w:t xml:space="preserve">72 Havant Road, HI </w:t>
                            </w:r>
                          </w:p>
                          <w:p w14:paraId="0555A6E5" w14:textId="77777777" w:rsidR="00B66145" w:rsidRPr="00B66145" w:rsidRDefault="00970669" w:rsidP="00B661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sz w:val="22"/>
                                <w:szCs w:val="22"/>
                              </w:rPr>
                            </w:pPr>
                            <w:r>
                              <w:rPr>
                                <w:rFonts w:ascii="Calibri" w:hAnsi="Calibri" w:cs="Calibri"/>
                                <w:b/>
                                <w:sz w:val="22"/>
                                <w:szCs w:val="22"/>
                              </w:rPr>
                              <w:t>Proposa</w:t>
                            </w:r>
                            <w:r w:rsidR="00145CFC">
                              <w:rPr>
                                <w:rFonts w:ascii="Calibri" w:hAnsi="Calibri" w:cs="Calibri"/>
                                <w:b/>
                                <w:sz w:val="22"/>
                                <w:szCs w:val="22"/>
                              </w:rPr>
                              <w:t xml:space="preserve">l </w:t>
                            </w:r>
                            <w:r w:rsidR="002C68C7">
                              <w:rPr>
                                <w:rFonts w:ascii="Calibri" w:hAnsi="Calibri" w:cs="Calibri"/>
                                <w:b/>
                                <w:sz w:val="22"/>
                                <w:szCs w:val="22"/>
                              </w:rPr>
                              <w:t xml:space="preserve">– </w:t>
                            </w:r>
                            <w:r w:rsidR="00B66145" w:rsidRPr="00B66145">
                              <w:rPr>
                                <w:rFonts w:ascii="Calibri" w:hAnsi="Calibri" w:cs="Calibri"/>
                                <w:b/>
                                <w:sz w:val="22"/>
                                <w:szCs w:val="22"/>
                              </w:rPr>
                              <w:t>Change of windows and doors from dark wood to black aluminium composite.</w:t>
                            </w:r>
                          </w:p>
                          <w:p w14:paraId="53955D28" w14:textId="41F06181" w:rsidR="002727E7" w:rsidRPr="002727E7" w:rsidRDefault="002C68C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kern w:val="0"/>
                                <w:sz w:val="22"/>
                                <w:szCs w:val="22"/>
                              </w:rPr>
                            </w:pPr>
                            <w:r>
                              <w:rPr>
                                <w:rFonts w:ascii="Calibri" w:hAnsi="Calibri" w:cs="Calibri"/>
                                <w:b/>
                                <w:sz w:val="22"/>
                                <w:szCs w:val="22"/>
                              </w:rPr>
                              <w:t xml:space="preserve"> </w:t>
                            </w: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8pt;margin-top:31.7pt;width:454.8pt;height:125.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" fillcolor="#c1e4f5 [660]">
                <v:textbox>
                  <w:txbxContent>
                    <w:p w14:paraId="7546DDFA" w14:textId="4B774408"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B66145">
                        <w:rPr>
                          <w:rFonts w:ascii="Calibri" w:hAnsi="Calibri" w:cs="Calibri"/>
                          <w:b/>
                          <w:sz w:val="22"/>
                          <w:szCs w:val="22"/>
                        </w:rPr>
                        <w:t>5/2/2025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941DBE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2C68C7">
                        <w:rPr>
                          <w:rFonts w:ascii="Calibri" w:hAnsi="Calibri" w:cs="Calibri"/>
                          <w:b/>
                          <w:sz w:val="22"/>
                          <w:szCs w:val="22"/>
                        </w:rPr>
                        <w:t>APP/24/0</w:t>
                      </w:r>
                      <w:r w:rsidR="00B66145">
                        <w:rPr>
                          <w:rFonts w:ascii="Calibri" w:hAnsi="Calibri" w:cs="Calibri"/>
                          <w:b/>
                          <w:sz w:val="22"/>
                          <w:szCs w:val="22"/>
                        </w:rPr>
                        <w:t>1003</w:t>
                      </w:r>
                    </w:p>
                    <w:p w14:paraId="458D1D24" w14:textId="6C9948AD"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B66145">
                        <w:rPr>
                          <w:rFonts w:ascii="Calibri" w:hAnsi="Calibri" w:cs="Calibri"/>
                          <w:b/>
                          <w:sz w:val="22"/>
                          <w:szCs w:val="22"/>
                        </w:rPr>
                        <w:t xml:space="preserve">72 Havant Road, HI </w:t>
                      </w:r>
                    </w:p>
                    <w:p w14:paraId="0555A6E5" w14:textId="77777777" w:rsidR="00B66145" w:rsidRPr="00B66145" w:rsidRDefault="00970669" w:rsidP="00B661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b/>
                          <w:sz w:val="22"/>
                          <w:szCs w:val="22"/>
                        </w:rPr>
                      </w:pPr>
                      <w:r>
                        <w:rPr>
                          <w:rFonts w:ascii="Calibri" w:hAnsi="Calibri" w:cs="Calibri"/>
                          <w:b/>
                          <w:sz w:val="22"/>
                          <w:szCs w:val="22"/>
                        </w:rPr>
                        <w:t>Proposa</w:t>
                      </w:r>
                      <w:r w:rsidR="00145CFC">
                        <w:rPr>
                          <w:rFonts w:ascii="Calibri" w:hAnsi="Calibri" w:cs="Calibri"/>
                          <w:b/>
                          <w:sz w:val="22"/>
                          <w:szCs w:val="22"/>
                        </w:rPr>
                        <w:t xml:space="preserve">l </w:t>
                      </w:r>
                      <w:r w:rsidR="002C68C7">
                        <w:rPr>
                          <w:rFonts w:ascii="Calibri" w:hAnsi="Calibri" w:cs="Calibri"/>
                          <w:b/>
                          <w:sz w:val="22"/>
                          <w:szCs w:val="22"/>
                        </w:rPr>
                        <w:t xml:space="preserve">– </w:t>
                      </w:r>
                      <w:r w:rsidR="00B66145" w:rsidRPr="00B66145">
                        <w:rPr>
                          <w:rFonts w:ascii="Calibri" w:hAnsi="Calibri" w:cs="Calibri"/>
                          <w:b/>
                          <w:sz w:val="22"/>
                          <w:szCs w:val="22"/>
                        </w:rPr>
                        <w:t>Change of windows and doors from dark wood to black aluminium composite.</w:t>
                      </w:r>
                    </w:p>
                    <w:p w14:paraId="53955D28" w14:textId="41F06181" w:rsidR="002727E7" w:rsidRPr="002727E7" w:rsidRDefault="002C68C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kern w:val="0"/>
                          <w:sz w:val="22"/>
                          <w:szCs w:val="22"/>
                        </w:rPr>
                      </w:pPr>
                      <w:r>
                        <w:rPr>
                          <w:rFonts w:ascii="Calibri" w:hAnsi="Calibri" w:cs="Calibri"/>
                          <w:b/>
                          <w:sz w:val="22"/>
                          <w:szCs w:val="22"/>
                        </w:rPr>
                        <w:t xml:space="preserve"> </w:t>
                      </w: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058C573" w14:textId="54410F7D" w:rsidR="00B12D34" w:rsidRPr="00FC0674" w:rsidRDefault="002727E7" w:rsidP="00B12D34">
      <w:pPr>
        <w:jc w:val="both"/>
        <w:rPr>
          <w:rFonts w:ascii="Calibri" w:hAnsi="Calibri" w:cs="Calibri"/>
          <w:b/>
          <w:sz w:val="22"/>
          <w:szCs w:val="22"/>
          <w:u w:val="single"/>
        </w:rPr>
      </w:pPr>
      <w:r w:rsidRPr="00FC0674">
        <w:rPr>
          <w:rFonts w:ascii="Calibri" w:hAnsi="Calibri" w:cs="Calibri"/>
          <w:sz w:val="22"/>
          <w:szCs w:val="22"/>
        </w:rPr>
        <w:t xml:space="preserve">The application site </w:t>
      </w:r>
      <w:r w:rsidR="00502C80">
        <w:rPr>
          <w:rFonts w:ascii="Calibri" w:hAnsi="Calibri" w:cs="Calibri"/>
          <w:sz w:val="22"/>
          <w:szCs w:val="22"/>
        </w:rPr>
        <w:t xml:space="preserve">is located </w:t>
      </w:r>
      <w:r w:rsidR="00B66145">
        <w:rPr>
          <w:rFonts w:ascii="Calibri" w:hAnsi="Calibri" w:cs="Calibri"/>
          <w:sz w:val="22"/>
          <w:szCs w:val="22"/>
        </w:rPr>
        <w:t xml:space="preserve">on Havant Road in HI. It comprises a converted barn with associated outbuildings. It is adjacent to a Grade II listed building- No. 70 Havant Road and a listed granary building, which is located within the garden of No. 72.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2BA08429" w14:textId="77777777" w:rsidR="00170DC1" w:rsidRPr="008E72AA" w:rsidRDefault="00170DC1" w:rsidP="00170DC1">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47FAF176" w14:textId="77777777" w:rsidR="00170DC1" w:rsidRDefault="00170DC1" w:rsidP="00170DC1">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w:t>
      </w:r>
      <w:proofErr w:type="spellStart"/>
      <w:r>
        <w:rPr>
          <w:rFonts w:ascii="Calibri" w:hAnsi="Calibri" w:cs="Calibri"/>
          <w:sz w:val="22"/>
          <w:szCs w:val="22"/>
        </w:rPr>
        <w:t>many</w:t>
      </w:r>
      <w:proofErr w:type="spellEnd"/>
      <w:r>
        <w:rPr>
          <w:rFonts w:ascii="Calibri" w:hAnsi="Calibri" w:cs="Calibri"/>
          <w:sz w:val="22"/>
          <w:szCs w:val="22"/>
        </w:rPr>
        <w:t xml:space="preserve"> be, the Secretary of State, shall have special regard to the desirability of preserving the building or its setting or any features of special architectural or historic interest which is possesses. </w:t>
      </w:r>
    </w:p>
    <w:p w14:paraId="17DD080F" w14:textId="48F7DD05"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EB690F">
        <w:rPr>
          <w:rFonts w:ascii="Calibri" w:hAnsi="Calibri" w:cs="Calibri"/>
          <w:b/>
          <w:bCs/>
          <w:sz w:val="22"/>
          <w:szCs w:val="22"/>
          <w:u w:val="single"/>
        </w:rPr>
        <w:t xml:space="preserve">December 2024) </w:t>
      </w:r>
    </w:p>
    <w:p w14:paraId="69A70363" w14:textId="4B8DE9DF" w:rsidR="002A25D7"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EB690F">
        <w:rPr>
          <w:rFonts w:ascii="Calibri" w:hAnsi="Calibri" w:cs="Calibri"/>
          <w:sz w:val="22"/>
          <w:szCs w:val="22"/>
        </w:rPr>
        <w:t>202 – 22</w:t>
      </w:r>
      <w:r w:rsidR="007B56B7">
        <w:rPr>
          <w:rFonts w:ascii="Calibri" w:hAnsi="Calibri" w:cs="Calibri"/>
          <w:sz w:val="22"/>
          <w:szCs w:val="22"/>
        </w:rPr>
        <w:t>. T</w:t>
      </w:r>
      <w:r w:rsidRPr="00493D1E">
        <w:rPr>
          <w:rFonts w:ascii="Calibri" w:hAnsi="Calibri" w:cs="Calibri"/>
          <w:sz w:val="22"/>
          <w:szCs w:val="22"/>
        </w:rPr>
        <w: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4BBD9AFE" w14:textId="77777777" w:rsidR="007B56B7" w:rsidRDefault="007B56B7" w:rsidP="007B56B7">
      <w:pPr>
        <w:jc w:val="both"/>
        <w:rPr>
          <w:rFonts w:ascii="Calibri" w:hAnsi="Calibri" w:cs="Calibri"/>
          <w:sz w:val="22"/>
          <w:szCs w:val="22"/>
        </w:rPr>
      </w:pPr>
      <w:r>
        <w:rPr>
          <w:rFonts w:ascii="Calibri" w:hAnsi="Calibri" w:cs="Calibri"/>
          <w:sz w:val="22"/>
          <w:szCs w:val="22"/>
        </w:rPr>
        <w:t xml:space="preserve">Para 209 states that: </w:t>
      </w:r>
    </w:p>
    <w:p w14:paraId="43EFEB66" w14:textId="77777777" w:rsidR="007B56B7" w:rsidRPr="004E1530" w:rsidRDefault="007B56B7" w:rsidP="007B56B7">
      <w:pPr>
        <w:jc w:val="both"/>
        <w:rPr>
          <w:rFonts w:ascii="Calibri" w:hAnsi="Calibri" w:cs="Calibri"/>
          <w:i/>
          <w:iCs/>
          <w:sz w:val="22"/>
          <w:szCs w:val="22"/>
        </w:rPr>
      </w:pPr>
      <w:r w:rsidRPr="004E1530">
        <w:rPr>
          <w:rStyle w:val="Strong"/>
          <w:rFonts w:ascii="Calibri" w:hAnsi="Calibri" w:cs="Calibri"/>
          <w:i/>
          <w:iCs/>
          <w:color w:val="0B0C0C"/>
          <w:sz w:val="22"/>
          <w:szCs w:val="22"/>
          <w:shd w:val="clear" w:color="auto" w:fill="FFFFFF"/>
        </w:rPr>
        <w:t>‘</w:t>
      </w:r>
      <w:r w:rsidRPr="004E1530">
        <w:rPr>
          <w:rFonts w:ascii="Calibri" w:hAnsi="Calibri" w:cs="Calibri"/>
          <w:i/>
          <w:iCs/>
          <w:color w:val="0B0C0C"/>
          <w:sz w:val="22"/>
          <w:szCs w:val="22"/>
          <w:shd w:val="clear" w:color="auto" w:fill="FFFFFF"/>
        </w:rPr>
        <w:t>Where there is evidence of deliberate neglect of, or damage to, a heritage asset, the deteriorated state of the heritage asset should not be taken into account in any decision’.</w:t>
      </w:r>
    </w:p>
    <w:p w14:paraId="66267BD3" w14:textId="77777777" w:rsidR="007B56B7" w:rsidRDefault="007B56B7" w:rsidP="007B56B7">
      <w:pPr>
        <w:jc w:val="both"/>
        <w:rPr>
          <w:rFonts w:ascii="Calibri" w:hAnsi="Calibri" w:cs="Calibri"/>
          <w:sz w:val="22"/>
          <w:szCs w:val="22"/>
        </w:rPr>
      </w:pPr>
      <w:r>
        <w:rPr>
          <w:rFonts w:ascii="Calibri" w:hAnsi="Calibri" w:cs="Calibri"/>
          <w:sz w:val="22"/>
          <w:szCs w:val="22"/>
        </w:rPr>
        <w:t xml:space="preserve">Para 212 states that: </w:t>
      </w:r>
    </w:p>
    <w:p w14:paraId="6D692A56" w14:textId="77777777" w:rsidR="007B56B7" w:rsidRDefault="007B56B7" w:rsidP="007B56B7">
      <w:pPr>
        <w:jc w:val="both"/>
        <w:rPr>
          <w:rFonts w:ascii="Calibri" w:hAnsi="Calibri" w:cs="Calibri"/>
          <w:i/>
          <w:iCs/>
          <w:color w:val="0B0C0C"/>
          <w:sz w:val="22"/>
          <w:szCs w:val="22"/>
          <w:shd w:val="clear" w:color="auto" w:fill="FFFFFF"/>
        </w:rPr>
      </w:pPr>
      <w:r w:rsidRPr="00500F76">
        <w:rPr>
          <w:rStyle w:val="Strong"/>
          <w:rFonts w:ascii="Calibri" w:hAnsi="Calibri" w:cs="Calibri"/>
          <w:i/>
          <w:iCs/>
          <w:color w:val="0B0C0C"/>
          <w:sz w:val="22"/>
          <w:szCs w:val="22"/>
          <w:shd w:val="clear" w:color="auto" w:fill="FFFFFF"/>
        </w:rPr>
        <w:t>‘</w:t>
      </w:r>
      <w:r w:rsidRPr="00500F76">
        <w:rPr>
          <w:rFonts w:ascii="Calibri" w:hAnsi="Calibri" w:cs="Calibri"/>
          <w:i/>
          <w:iCs/>
          <w:color w:val="0B0C0C"/>
          <w:sz w:val="22"/>
          <w:szCs w:val="22"/>
          <w:shd w:val="clear" w:color="auto" w:fill="FFFFFF"/>
        </w:rPr>
        <w:t xml:space="preserve">When considering the impact of a proposed development on the significance of a designated heritage asset, great weight should be given to the asset’s conservation (and the more important the asset, the </w:t>
      </w:r>
      <w:r w:rsidRPr="00500F76">
        <w:rPr>
          <w:rFonts w:ascii="Calibri" w:hAnsi="Calibri" w:cs="Calibri"/>
          <w:i/>
          <w:iCs/>
          <w:color w:val="0B0C0C"/>
          <w:sz w:val="22"/>
          <w:szCs w:val="22"/>
          <w:shd w:val="clear" w:color="auto" w:fill="FFFFFF"/>
        </w:rPr>
        <w:lastRenderedPageBreak/>
        <w:t>greater the weight should be). This is irrespective of whether any potential harm amounts to substantial harm, total loss or less than substantial harm to its significance’.</w:t>
      </w:r>
    </w:p>
    <w:p w14:paraId="768A1987" w14:textId="77777777" w:rsidR="007B56B7" w:rsidRDefault="007B56B7" w:rsidP="007B56B7">
      <w:pPr>
        <w:jc w:val="both"/>
        <w:rPr>
          <w:rFonts w:ascii="Calibri" w:hAnsi="Calibri" w:cs="Calibri"/>
          <w:color w:val="0B0C0C"/>
          <w:sz w:val="22"/>
          <w:szCs w:val="22"/>
          <w:shd w:val="clear" w:color="auto" w:fill="FFFFFF"/>
        </w:rPr>
      </w:pPr>
      <w:r w:rsidRPr="004E1530">
        <w:rPr>
          <w:rFonts w:ascii="Calibri" w:hAnsi="Calibri" w:cs="Calibri"/>
          <w:color w:val="0B0C0C"/>
          <w:sz w:val="22"/>
          <w:szCs w:val="22"/>
          <w:shd w:val="clear" w:color="auto" w:fill="FFFFFF"/>
        </w:rPr>
        <w:t>Para 2</w:t>
      </w:r>
      <w:r>
        <w:rPr>
          <w:rFonts w:ascii="Calibri" w:hAnsi="Calibri" w:cs="Calibri"/>
          <w:color w:val="0B0C0C"/>
          <w:sz w:val="22"/>
          <w:szCs w:val="22"/>
          <w:shd w:val="clear" w:color="auto" w:fill="FFFFFF"/>
        </w:rPr>
        <w:t>13</w:t>
      </w:r>
      <w:r w:rsidRPr="004E1530">
        <w:rPr>
          <w:rFonts w:ascii="Calibri" w:hAnsi="Calibri" w:cs="Calibri"/>
          <w:color w:val="0B0C0C"/>
          <w:sz w:val="22"/>
          <w:szCs w:val="22"/>
          <w:shd w:val="clear" w:color="auto" w:fill="FFFFFF"/>
        </w:rPr>
        <w:t xml:space="preserve"> states that:</w:t>
      </w:r>
      <w:r w:rsidRPr="00B57DCC">
        <w:rPr>
          <w:rFonts w:ascii="Calibri" w:hAnsi="Calibri" w:cs="Calibri"/>
          <w:color w:val="0B0C0C"/>
          <w:sz w:val="22"/>
          <w:szCs w:val="22"/>
          <w:shd w:val="clear" w:color="auto" w:fill="FFFFFF"/>
        </w:rPr>
        <w:t xml:space="preserve"> </w:t>
      </w:r>
    </w:p>
    <w:p w14:paraId="2B024CA6" w14:textId="77777777" w:rsidR="007B56B7" w:rsidRPr="004E1530" w:rsidRDefault="007B56B7" w:rsidP="007B56B7">
      <w:pPr>
        <w:pStyle w:val="NormalWeb"/>
        <w:shd w:val="clear" w:color="auto" w:fill="FFFFFF"/>
        <w:spacing w:before="300" w:beforeAutospacing="0" w:after="300" w:afterAutospacing="0"/>
        <w:rPr>
          <w:rFonts w:ascii="Calibri" w:hAnsi="Calibri" w:cs="Calibri"/>
          <w:i/>
          <w:iCs/>
          <w:color w:val="0B0C0C"/>
          <w:sz w:val="22"/>
          <w:szCs w:val="22"/>
        </w:rPr>
      </w:pPr>
      <w:r>
        <w:rPr>
          <w:rFonts w:ascii="Calibri" w:hAnsi="Calibri" w:cs="Calibri"/>
          <w:i/>
          <w:iCs/>
          <w:color w:val="0B0C0C"/>
          <w:sz w:val="22"/>
          <w:szCs w:val="22"/>
        </w:rPr>
        <w:t>‘</w:t>
      </w:r>
      <w:r w:rsidRPr="004E1530">
        <w:rPr>
          <w:rFonts w:ascii="Calibri" w:hAnsi="Calibri" w:cs="Calibri"/>
          <w:i/>
          <w:iCs/>
          <w:color w:val="0B0C0C"/>
          <w:sz w:val="22"/>
          <w:szCs w:val="22"/>
        </w:rPr>
        <w:t>Any harm to, or loss of, the significance of a designated heritage asset (from its alteration or destruction, or from development within its setting), should require clear and convincing justification. Substantial harm to or loss of:</w:t>
      </w:r>
    </w:p>
    <w:p w14:paraId="124358D8" w14:textId="77777777" w:rsidR="007B56B7" w:rsidRPr="004E1530" w:rsidRDefault="007B56B7" w:rsidP="007B56B7">
      <w:pPr>
        <w:pStyle w:val="NormalWeb"/>
        <w:shd w:val="clear" w:color="auto" w:fill="FFFFFF"/>
        <w:spacing w:before="300" w:beforeAutospacing="0" w:after="300" w:afterAutospacing="0"/>
        <w:rPr>
          <w:rFonts w:ascii="Calibri" w:hAnsi="Calibri" w:cs="Calibri"/>
          <w:i/>
          <w:iCs/>
          <w:color w:val="0B0C0C"/>
          <w:sz w:val="22"/>
          <w:szCs w:val="22"/>
        </w:rPr>
      </w:pPr>
      <w:r w:rsidRPr="004E1530">
        <w:rPr>
          <w:rFonts w:ascii="Calibri" w:hAnsi="Calibri" w:cs="Calibri"/>
          <w:i/>
          <w:iCs/>
          <w:color w:val="0B0C0C"/>
          <w:sz w:val="22"/>
          <w:szCs w:val="22"/>
        </w:rPr>
        <w:t xml:space="preserve">(a) grade II listed buildings, or grade II registered parks or gardens, should be </w:t>
      </w:r>
      <w:proofErr w:type="gramStart"/>
      <w:r w:rsidRPr="004E1530">
        <w:rPr>
          <w:rFonts w:ascii="Calibri" w:hAnsi="Calibri" w:cs="Calibri"/>
          <w:i/>
          <w:iCs/>
          <w:color w:val="0B0C0C"/>
          <w:sz w:val="22"/>
          <w:szCs w:val="22"/>
        </w:rPr>
        <w:t>exceptional;</w:t>
      </w:r>
      <w:proofErr w:type="gramEnd"/>
    </w:p>
    <w:p w14:paraId="3CB41675" w14:textId="77777777" w:rsidR="007B56B7" w:rsidRPr="004E1530" w:rsidRDefault="007B56B7" w:rsidP="007B56B7">
      <w:pPr>
        <w:pStyle w:val="NormalWeb"/>
        <w:shd w:val="clear" w:color="auto" w:fill="FFFFFF"/>
        <w:spacing w:before="300" w:beforeAutospacing="0" w:after="300" w:afterAutospacing="0"/>
        <w:rPr>
          <w:rFonts w:ascii="Calibri" w:hAnsi="Calibri" w:cs="Calibri"/>
          <w:i/>
          <w:iCs/>
          <w:color w:val="0B0C0C"/>
          <w:sz w:val="22"/>
          <w:szCs w:val="22"/>
        </w:rPr>
      </w:pPr>
      <w:r w:rsidRPr="004E1530">
        <w:rPr>
          <w:rFonts w:ascii="Calibri" w:hAnsi="Calibri" w:cs="Calibri"/>
          <w:i/>
          <w:iCs/>
          <w:color w:val="0B0C0C"/>
          <w:sz w:val="22"/>
          <w:szCs w:val="22"/>
        </w:rPr>
        <w:t>(b) assets of the highest significance, notably scheduled monuments, protected wreck sites, registered battlefields, grade I and II* listed buildings, grade I and II* registered parks and gardens, and World Heritage Sites, should be wholly exceptional</w:t>
      </w:r>
      <w:r>
        <w:rPr>
          <w:rFonts w:ascii="Calibri" w:hAnsi="Calibri" w:cs="Calibri"/>
          <w:i/>
          <w:iCs/>
          <w:color w:val="0B0C0C"/>
          <w:sz w:val="22"/>
          <w:szCs w:val="22"/>
        </w:rPr>
        <w:t>’</w:t>
      </w:r>
    </w:p>
    <w:p w14:paraId="63CE64FD" w14:textId="77777777" w:rsidR="007B56B7" w:rsidRPr="009769E7" w:rsidRDefault="007B56B7" w:rsidP="007B56B7">
      <w:pPr>
        <w:jc w:val="both"/>
        <w:rPr>
          <w:rFonts w:ascii="Calibri" w:hAnsi="Calibri" w:cs="Calibri"/>
          <w:sz w:val="22"/>
          <w:szCs w:val="22"/>
        </w:rPr>
      </w:pPr>
      <w:r w:rsidRPr="009769E7">
        <w:rPr>
          <w:rFonts w:ascii="Calibri" w:hAnsi="Calibri" w:cs="Calibri"/>
          <w:sz w:val="22"/>
          <w:szCs w:val="22"/>
        </w:rPr>
        <w:t>Para 2</w:t>
      </w:r>
      <w:r>
        <w:rPr>
          <w:rFonts w:ascii="Calibri" w:hAnsi="Calibri" w:cs="Calibri"/>
          <w:sz w:val="22"/>
          <w:szCs w:val="22"/>
        </w:rPr>
        <w:t>14</w:t>
      </w:r>
      <w:r w:rsidRPr="009769E7">
        <w:rPr>
          <w:rFonts w:ascii="Calibri" w:hAnsi="Calibri" w:cs="Calibri"/>
          <w:sz w:val="22"/>
          <w:szCs w:val="22"/>
        </w:rPr>
        <w:t xml:space="preserve"> states that: </w:t>
      </w:r>
    </w:p>
    <w:p w14:paraId="000519A0" w14:textId="77777777" w:rsidR="007B56B7" w:rsidRPr="009769E7" w:rsidRDefault="007B56B7" w:rsidP="007B56B7">
      <w:pPr>
        <w:jc w:val="both"/>
        <w:rPr>
          <w:rFonts w:ascii="Calibri" w:hAnsi="Calibri" w:cs="Calibri"/>
          <w:i/>
          <w:iCs/>
          <w:sz w:val="22"/>
          <w:szCs w:val="22"/>
          <w:highlight w:val="yellow"/>
        </w:rPr>
      </w:pPr>
      <w:r w:rsidRPr="009769E7">
        <w:rPr>
          <w:rFonts w:ascii="Calibri" w:hAnsi="Calibri" w:cs="Calibri"/>
          <w:i/>
          <w:iCs/>
          <w:sz w:val="22"/>
          <w:szCs w:val="22"/>
        </w:rPr>
        <w:t>‘</w:t>
      </w:r>
      <w:proofErr w:type="gramStart"/>
      <w:r w:rsidRPr="009769E7">
        <w:rPr>
          <w:rFonts w:ascii="Calibri" w:hAnsi="Calibri" w:cs="Calibri"/>
          <w:i/>
          <w:iCs/>
          <w:sz w:val="22"/>
          <w:szCs w:val="22"/>
        </w:rPr>
        <w:t>where</w:t>
      </w:r>
      <w:proofErr w:type="gramEnd"/>
      <w:r w:rsidRPr="009769E7">
        <w:rPr>
          <w:rFonts w:ascii="Calibri" w:hAnsi="Calibri" w:cs="Calibri"/>
          <w:i/>
          <w:iCs/>
          <w:sz w:val="22"/>
          <w:szCs w:val="22"/>
        </w:rPr>
        <w:t xml:space="preserv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5EB4CF30" w14:textId="77777777" w:rsidR="007B56B7" w:rsidRDefault="007B56B7" w:rsidP="007B56B7">
      <w:pPr>
        <w:jc w:val="both"/>
        <w:rPr>
          <w:rFonts w:ascii="Calibri" w:hAnsi="Calibri" w:cs="Calibri"/>
          <w:sz w:val="22"/>
          <w:szCs w:val="22"/>
        </w:rPr>
      </w:pPr>
      <w:r w:rsidRPr="00D132BD">
        <w:rPr>
          <w:rFonts w:ascii="Calibri" w:hAnsi="Calibri" w:cs="Calibri"/>
          <w:sz w:val="22"/>
          <w:szCs w:val="22"/>
        </w:rPr>
        <w:t xml:space="preserve">Para </w:t>
      </w:r>
      <w:r>
        <w:rPr>
          <w:rFonts w:ascii="Calibri" w:hAnsi="Calibri" w:cs="Calibri"/>
          <w:sz w:val="22"/>
          <w:szCs w:val="22"/>
        </w:rPr>
        <w:t xml:space="preserve">215 states that: </w:t>
      </w:r>
    </w:p>
    <w:p w14:paraId="734C2894" w14:textId="7E40BEF5" w:rsidR="007B56B7" w:rsidRDefault="007B56B7"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E161533" w14:textId="08906CCA" w:rsidR="00997FA8" w:rsidRPr="00997FA8" w:rsidRDefault="00997FA8" w:rsidP="002A25D7">
      <w:pPr>
        <w:jc w:val="both"/>
        <w:rPr>
          <w:rFonts w:ascii="Calibri" w:hAnsi="Calibri" w:cs="Calibri"/>
          <w:color w:val="0B0C0C"/>
          <w:sz w:val="22"/>
          <w:szCs w:val="22"/>
          <w:shd w:val="clear" w:color="auto" w:fill="FFFFFF"/>
        </w:rPr>
      </w:pPr>
      <w:r w:rsidRPr="00997FA8">
        <w:rPr>
          <w:rFonts w:ascii="Calibri" w:hAnsi="Calibri" w:cs="Calibri"/>
          <w:color w:val="0B0C0C"/>
          <w:sz w:val="22"/>
          <w:szCs w:val="22"/>
          <w:shd w:val="clear" w:color="auto" w:fill="FFFFFF"/>
        </w:rPr>
        <w:t xml:space="preserve">Para 216 states that: </w:t>
      </w:r>
    </w:p>
    <w:p w14:paraId="6DEBE845" w14:textId="30CE58C9" w:rsidR="00997FA8" w:rsidRPr="00997FA8" w:rsidRDefault="00997FA8" w:rsidP="002A25D7">
      <w:pPr>
        <w:jc w:val="both"/>
        <w:rPr>
          <w:rFonts w:ascii="Calibri" w:hAnsi="Calibri" w:cs="Calibri"/>
          <w:i/>
          <w:iCs/>
          <w:color w:val="0B0C0C"/>
          <w:sz w:val="22"/>
          <w:szCs w:val="22"/>
          <w:shd w:val="clear" w:color="auto" w:fill="FFFFFF"/>
        </w:rPr>
      </w:pPr>
      <w:r w:rsidRPr="00997FA8">
        <w:rPr>
          <w:rFonts w:ascii="Calibri" w:hAnsi="Calibri" w:cs="Calibri"/>
          <w:i/>
          <w:iCs/>
          <w:color w:val="0B0C0C"/>
          <w:sz w:val="22"/>
          <w:szCs w:val="22"/>
          <w:shd w:val="clear" w:color="auto" w:fill="FFFFFF"/>
        </w:rPr>
        <w:t xml:space="preserve">‘The effect of an application on the significance of a non-designated heritage asset should be </w:t>
      </w:r>
      <w:proofErr w:type="gramStart"/>
      <w:r w:rsidRPr="00997FA8">
        <w:rPr>
          <w:rFonts w:ascii="Calibri" w:hAnsi="Calibri" w:cs="Calibri"/>
          <w:i/>
          <w:iCs/>
          <w:color w:val="0B0C0C"/>
          <w:sz w:val="22"/>
          <w:szCs w:val="22"/>
          <w:shd w:val="clear" w:color="auto" w:fill="FFFFFF"/>
        </w:rPr>
        <w:t>taken into account</w:t>
      </w:r>
      <w:proofErr w:type="gramEnd"/>
      <w:r w:rsidRPr="00997FA8">
        <w:rPr>
          <w:rFonts w:ascii="Calibri" w:hAnsi="Calibri" w:cs="Calibri"/>
          <w:i/>
          <w:iCs/>
          <w:color w:val="0B0C0C"/>
          <w:sz w:val="22"/>
          <w:szCs w:val="22"/>
          <w:shd w:val="clear" w:color="auto" w:fill="FFFFFF"/>
        </w:rP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lastRenderedPageBreak/>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A997B24" w14:textId="394EAB4F" w:rsidR="007B56B7" w:rsidRPr="00297468" w:rsidRDefault="00B374C1" w:rsidP="00297468">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6A07226E" w14:textId="77777777" w:rsidR="00BA2253" w:rsidRDefault="00B66145" w:rsidP="00B12D34">
      <w:pPr>
        <w:jc w:val="both"/>
        <w:rPr>
          <w:rFonts w:ascii="Calibri" w:hAnsi="Calibri" w:cs="Calibri"/>
          <w:sz w:val="22"/>
          <w:szCs w:val="22"/>
        </w:rPr>
      </w:pPr>
      <w:r>
        <w:rPr>
          <w:rFonts w:ascii="Calibri" w:hAnsi="Calibri" w:cs="Calibri"/>
          <w:sz w:val="22"/>
          <w:szCs w:val="22"/>
        </w:rPr>
        <w:t xml:space="preserve">The proposal is to replace the windows within the property from dark wood to black aluminium windows. </w:t>
      </w:r>
      <w:r w:rsidR="00BA2253">
        <w:rPr>
          <w:rFonts w:ascii="Calibri" w:hAnsi="Calibri" w:cs="Calibri"/>
          <w:sz w:val="22"/>
          <w:szCs w:val="22"/>
        </w:rPr>
        <w:t xml:space="preserve">Given the proximity of the site to the adjacent listed building, it is important to consider the use of an appropriate material which would not detract from the significance of this listed building, nor the listed granary.  </w:t>
      </w:r>
    </w:p>
    <w:p w14:paraId="2E73EAA7" w14:textId="711FBF9F" w:rsidR="00B66145" w:rsidRPr="00B66145" w:rsidRDefault="00BA2253" w:rsidP="00B12D34">
      <w:pPr>
        <w:jc w:val="both"/>
        <w:rPr>
          <w:rFonts w:ascii="Calibri" w:hAnsi="Calibri" w:cs="Calibri"/>
          <w:sz w:val="22"/>
          <w:szCs w:val="22"/>
        </w:rPr>
      </w:pPr>
      <w:r>
        <w:rPr>
          <w:rFonts w:ascii="Calibri" w:hAnsi="Calibri" w:cs="Calibri"/>
          <w:sz w:val="22"/>
          <w:szCs w:val="22"/>
        </w:rPr>
        <w:t xml:space="preserve">The aluminium window product would be slimline in profile and appropriate to industrial style of the building (barn conversion) and therefore no hertiage objections are raised as it is considered that no harm would arise to the adjacent designed heritage assets.  </w:t>
      </w:r>
    </w:p>
    <w:p w14:paraId="4AE60CC1" w14:textId="77777777" w:rsidR="000E6489" w:rsidRDefault="000E6489" w:rsidP="000E6489">
      <w:pPr>
        <w:jc w:val="both"/>
        <w:rPr>
          <w:rFonts w:ascii="Calibri" w:hAnsi="Calibri" w:cs="Calibri"/>
          <w:b/>
          <w:bCs/>
          <w:sz w:val="22"/>
          <w:szCs w:val="22"/>
          <w:highlight w:val="lightGray"/>
        </w:rPr>
      </w:pPr>
      <w:r>
        <w:rPr>
          <w:rFonts w:ascii="Calibri" w:hAnsi="Calibri" w:cs="Calibri"/>
          <w:b/>
          <w:bCs/>
          <w:sz w:val="22"/>
          <w:szCs w:val="22"/>
          <w:highlight w:val="lightGray"/>
        </w:rPr>
        <w:t xml:space="preserve">Conclusion </w:t>
      </w:r>
    </w:p>
    <w:p w14:paraId="61442C2E" w14:textId="04525C44" w:rsidR="000E6489" w:rsidRPr="000E6489" w:rsidRDefault="000E6489" w:rsidP="00B66145">
      <w:pPr>
        <w:jc w:val="both"/>
        <w:rPr>
          <w:rFonts w:ascii="Calibri" w:hAnsi="Calibri" w:cs="Calibri"/>
          <w:sz w:val="22"/>
          <w:szCs w:val="22"/>
        </w:rPr>
      </w:pPr>
      <w:r w:rsidRPr="000E6489">
        <w:rPr>
          <w:rFonts w:ascii="Calibri" w:hAnsi="Calibri" w:cs="Calibri"/>
          <w:b/>
          <w:bCs/>
          <w:sz w:val="22"/>
          <w:szCs w:val="22"/>
        </w:rPr>
        <w:t xml:space="preserve">NO OBJECTION </w:t>
      </w:r>
    </w:p>
    <w:p w14:paraId="7FB0F438" w14:textId="77777777" w:rsidR="000E6489" w:rsidRPr="000A25B2" w:rsidRDefault="000E6489" w:rsidP="00B12D34">
      <w:pPr>
        <w:jc w:val="both"/>
        <w:rPr>
          <w:rFonts w:ascii="Calibri" w:hAnsi="Calibri" w:cs="Calibri"/>
          <w:sz w:val="22"/>
          <w:szCs w:val="22"/>
        </w:rPr>
      </w:pPr>
    </w:p>
    <w:sectPr w:rsidR="000E6489" w:rsidRPr="000A25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93772"/>
    <w:multiLevelType w:val="hybridMultilevel"/>
    <w:tmpl w:val="8BCA5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8423D1"/>
    <w:multiLevelType w:val="hybridMultilevel"/>
    <w:tmpl w:val="A83A3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2"/>
  </w:num>
  <w:num w:numId="2" w16cid:durableId="751972753">
    <w:abstractNumId w:val="6"/>
  </w:num>
  <w:num w:numId="3" w16cid:durableId="1809206664">
    <w:abstractNumId w:val="3"/>
  </w:num>
  <w:num w:numId="4" w16cid:durableId="2032418738">
    <w:abstractNumId w:val="5"/>
  </w:num>
  <w:num w:numId="5" w16cid:durableId="887572044">
    <w:abstractNumId w:val="1"/>
  </w:num>
  <w:num w:numId="6" w16cid:durableId="315845238">
    <w:abstractNumId w:val="4"/>
  </w:num>
  <w:num w:numId="7" w16cid:durableId="533883357">
    <w:abstractNumId w:val="0"/>
  </w:num>
  <w:num w:numId="8" w16cid:durableId="9371800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A25B2"/>
    <w:rsid w:val="000B3B84"/>
    <w:rsid w:val="000E6489"/>
    <w:rsid w:val="0012767B"/>
    <w:rsid w:val="00136C77"/>
    <w:rsid w:val="00145CFC"/>
    <w:rsid w:val="00166681"/>
    <w:rsid w:val="0017070C"/>
    <w:rsid w:val="00170DC1"/>
    <w:rsid w:val="00195D83"/>
    <w:rsid w:val="001C063B"/>
    <w:rsid w:val="001F75AA"/>
    <w:rsid w:val="00214695"/>
    <w:rsid w:val="0021656A"/>
    <w:rsid w:val="0025513C"/>
    <w:rsid w:val="002727E7"/>
    <w:rsid w:val="0029338C"/>
    <w:rsid w:val="00297468"/>
    <w:rsid w:val="002A25D7"/>
    <w:rsid w:val="002C68C7"/>
    <w:rsid w:val="002D7F26"/>
    <w:rsid w:val="002E5E23"/>
    <w:rsid w:val="002F6E50"/>
    <w:rsid w:val="0033167B"/>
    <w:rsid w:val="00343DA8"/>
    <w:rsid w:val="00380F5D"/>
    <w:rsid w:val="003F07B8"/>
    <w:rsid w:val="004458F7"/>
    <w:rsid w:val="00463DFD"/>
    <w:rsid w:val="00474EE8"/>
    <w:rsid w:val="00493D1E"/>
    <w:rsid w:val="004C6C9F"/>
    <w:rsid w:val="004C6E91"/>
    <w:rsid w:val="004E41DC"/>
    <w:rsid w:val="00502C80"/>
    <w:rsid w:val="00516EFB"/>
    <w:rsid w:val="005225AA"/>
    <w:rsid w:val="00551CF1"/>
    <w:rsid w:val="00580A86"/>
    <w:rsid w:val="00591A62"/>
    <w:rsid w:val="005A2565"/>
    <w:rsid w:val="00616599"/>
    <w:rsid w:val="006F1D88"/>
    <w:rsid w:val="007146EF"/>
    <w:rsid w:val="00767FF8"/>
    <w:rsid w:val="0079536D"/>
    <w:rsid w:val="007B56B7"/>
    <w:rsid w:val="007E57AD"/>
    <w:rsid w:val="008C7E14"/>
    <w:rsid w:val="008D7E97"/>
    <w:rsid w:val="009006FC"/>
    <w:rsid w:val="009070B4"/>
    <w:rsid w:val="009369E8"/>
    <w:rsid w:val="00970669"/>
    <w:rsid w:val="009769E7"/>
    <w:rsid w:val="00985F88"/>
    <w:rsid w:val="00997FA8"/>
    <w:rsid w:val="009A6F4C"/>
    <w:rsid w:val="009B1742"/>
    <w:rsid w:val="009F709F"/>
    <w:rsid w:val="00A02CE3"/>
    <w:rsid w:val="00A30910"/>
    <w:rsid w:val="00A52F89"/>
    <w:rsid w:val="00A75182"/>
    <w:rsid w:val="00A93B74"/>
    <w:rsid w:val="00AC4188"/>
    <w:rsid w:val="00B12D34"/>
    <w:rsid w:val="00B374C1"/>
    <w:rsid w:val="00B66145"/>
    <w:rsid w:val="00BA2253"/>
    <w:rsid w:val="00BC03D2"/>
    <w:rsid w:val="00BD65B7"/>
    <w:rsid w:val="00C12ECA"/>
    <w:rsid w:val="00C149E6"/>
    <w:rsid w:val="00C319BF"/>
    <w:rsid w:val="00C37ED6"/>
    <w:rsid w:val="00CC6E4F"/>
    <w:rsid w:val="00CD18F5"/>
    <w:rsid w:val="00CF62B8"/>
    <w:rsid w:val="00D02873"/>
    <w:rsid w:val="00D132BD"/>
    <w:rsid w:val="00D376DF"/>
    <w:rsid w:val="00DC0716"/>
    <w:rsid w:val="00E439DC"/>
    <w:rsid w:val="00E503E0"/>
    <w:rsid w:val="00E96105"/>
    <w:rsid w:val="00EA644A"/>
    <w:rsid w:val="00EB690F"/>
    <w:rsid w:val="00EF6A55"/>
    <w:rsid w:val="00F161D7"/>
    <w:rsid w:val="00F24ED8"/>
    <w:rsid w:val="00F76CB2"/>
    <w:rsid w:val="00FC0674"/>
    <w:rsid w:val="00FC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styleId="Strong">
    <w:name w:val="Strong"/>
    <w:basedOn w:val="DefaultParagraphFont"/>
    <w:uiPriority w:val="22"/>
    <w:qFormat/>
    <w:rsid w:val="007B56B7"/>
    <w:rPr>
      <w:b/>
      <w:bCs/>
    </w:rPr>
  </w:style>
  <w:style w:type="paragraph" w:styleId="NormalWeb">
    <w:name w:val="Normal (Web)"/>
    <w:basedOn w:val="Normal"/>
    <w:uiPriority w:val="99"/>
    <w:unhideWhenUsed/>
    <w:rsid w:val="007B56B7"/>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2025-02-05T12:46:00Z</dcterms:created>
  <dcterms:modified xsi:type="dcterms:W3CDTF">2025-02-05T12:46:00Z</dcterms:modified>
</cp:coreProperties>
</file>