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32F3E596" w:rsidR="00F91FE6" w:rsidRPr="009327D6" w:rsidRDefault="00F91FE6" w:rsidP="00852456">
      <w:pPr>
        <w:jc w:val="both"/>
        <w:rPr>
          <w:rFonts w:cstheme="minorHAnsi"/>
          <w:b/>
          <w:u w:val="single"/>
        </w:rPr>
      </w:pPr>
      <w:r w:rsidRPr="009327D6">
        <w:rPr>
          <w:rFonts w:cstheme="minorHAnsi"/>
          <w:b/>
          <w:u w:val="single"/>
        </w:rPr>
        <w:t xml:space="preserve">Date – </w:t>
      </w:r>
      <w:r w:rsidR="003F2FE4">
        <w:rPr>
          <w:rFonts w:cstheme="minorHAnsi"/>
          <w:b/>
          <w:u w:val="single"/>
        </w:rPr>
        <w:t>17/5/</w:t>
      </w:r>
      <w:r w:rsidR="00471D44">
        <w:rPr>
          <w:rFonts w:cstheme="minorHAnsi"/>
          <w:b/>
          <w:u w:val="single"/>
        </w:rPr>
        <w:t>2024</w:t>
      </w:r>
    </w:p>
    <w:p w14:paraId="53855C3A" w14:textId="7A9056BA" w:rsidR="00852456" w:rsidRDefault="00F86F4B" w:rsidP="00852456">
      <w:pPr>
        <w:jc w:val="both"/>
        <w:rPr>
          <w:rFonts w:cstheme="minorHAnsi"/>
          <w:b/>
          <w:u w:val="single"/>
        </w:rPr>
      </w:pPr>
      <w:r>
        <w:rPr>
          <w:rFonts w:cstheme="minorHAnsi"/>
          <w:b/>
          <w:u w:val="single"/>
        </w:rPr>
        <w:t>APP/2</w:t>
      </w:r>
      <w:r w:rsidR="00D4408D">
        <w:rPr>
          <w:rFonts w:cstheme="minorHAnsi"/>
          <w:b/>
          <w:u w:val="single"/>
        </w:rPr>
        <w:t>4</w:t>
      </w:r>
      <w:r w:rsidR="00272FC3">
        <w:rPr>
          <w:rFonts w:cstheme="minorHAnsi"/>
          <w:b/>
          <w:u w:val="single"/>
        </w:rPr>
        <w:t>/</w:t>
      </w:r>
      <w:r w:rsidR="00463D6A">
        <w:rPr>
          <w:rFonts w:cstheme="minorHAnsi"/>
          <w:b/>
          <w:u w:val="single"/>
        </w:rPr>
        <w:t>0</w:t>
      </w:r>
      <w:r w:rsidR="00471D44">
        <w:rPr>
          <w:rFonts w:cstheme="minorHAnsi"/>
          <w:b/>
          <w:u w:val="single"/>
        </w:rPr>
        <w:t>0</w:t>
      </w:r>
      <w:r w:rsidR="004D6EBB">
        <w:rPr>
          <w:rFonts w:cstheme="minorHAnsi"/>
          <w:b/>
          <w:u w:val="single"/>
        </w:rPr>
        <w:t>256</w:t>
      </w:r>
      <w:r w:rsidR="00501301">
        <w:rPr>
          <w:rFonts w:cstheme="minorHAnsi"/>
          <w:b/>
          <w:u w:val="single"/>
        </w:rPr>
        <w:t xml:space="preserve"> – </w:t>
      </w:r>
      <w:r w:rsidR="00D4408D">
        <w:rPr>
          <w:rFonts w:cstheme="minorHAnsi"/>
          <w:b/>
          <w:u w:val="single"/>
        </w:rPr>
        <w:t>2</w:t>
      </w:r>
      <w:r w:rsidR="004D6EBB">
        <w:rPr>
          <w:rFonts w:cstheme="minorHAnsi"/>
          <w:b/>
          <w:u w:val="single"/>
        </w:rPr>
        <w:t>a The Mews, Lan</w:t>
      </w:r>
      <w:r w:rsidR="00D4408D">
        <w:rPr>
          <w:rFonts w:cstheme="minorHAnsi"/>
          <w:b/>
          <w:u w:val="single"/>
        </w:rPr>
        <w:t>gstone</w:t>
      </w:r>
      <w:r w:rsidR="004D6EBB">
        <w:rPr>
          <w:rFonts w:cstheme="minorHAnsi"/>
          <w:b/>
          <w:u w:val="single"/>
        </w:rPr>
        <w:t xml:space="preserve"> High Street, Havant </w:t>
      </w:r>
      <w:r w:rsidR="00D4408D">
        <w:rPr>
          <w:rFonts w:cstheme="minorHAnsi"/>
          <w:b/>
          <w:u w:val="single"/>
        </w:rPr>
        <w:t xml:space="preserve"> </w:t>
      </w:r>
      <w:r w:rsidR="00501301">
        <w:rPr>
          <w:rFonts w:cstheme="minorHAnsi"/>
          <w:b/>
          <w:u w:val="single"/>
        </w:rPr>
        <w:t xml:space="preserve"> </w:t>
      </w:r>
    </w:p>
    <w:p w14:paraId="074D5120" w14:textId="6CFAB5DF" w:rsidR="00F86F4B" w:rsidRDefault="00E8381B" w:rsidP="00F86F4B">
      <w:pPr>
        <w:jc w:val="both"/>
        <w:rPr>
          <w:rFonts w:cstheme="minorHAnsi"/>
          <w:b/>
          <w:u w:val="single"/>
        </w:rPr>
      </w:pPr>
      <w:r>
        <w:rPr>
          <w:rFonts w:cstheme="minorHAnsi"/>
          <w:b/>
          <w:u w:val="single"/>
        </w:rPr>
        <w:t>Site</w:t>
      </w:r>
    </w:p>
    <w:p w14:paraId="06DF22D3" w14:textId="77777777" w:rsidR="00EA5ACF" w:rsidRDefault="00D4408D" w:rsidP="00F86F4B">
      <w:pPr>
        <w:jc w:val="both"/>
      </w:pPr>
      <w:r w:rsidRPr="00E106BC">
        <w:t>The site is located</w:t>
      </w:r>
      <w:r>
        <w:t xml:space="preserve"> in </w:t>
      </w:r>
      <w:r w:rsidR="004D6EBB">
        <w:t>a small, modern style mews development, accessed from Langstone High Street and within the Langstone Conservation Area. To the north of the site lies Langstone Lodge which is a non-designated hertiage asset</w:t>
      </w:r>
      <w:r w:rsidR="00CC5104">
        <w:t xml:space="preserve"> and a</w:t>
      </w:r>
      <w:r w:rsidR="004D6EBB">
        <w:t xml:space="preserve"> detached garage belonging to this property lies to the immediate north of the application site. </w:t>
      </w:r>
    </w:p>
    <w:p w14:paraId="37891983" w14:textId="7B6C5AAA" w:rsidR="00C32090" w:rsidRPr="00D4408D" w:rsidRDefault="00CC5104" w:rsidP="00F86F4B">
      <w:pPr>
        <w:jc w:val="both"/>
      </w:pPr>
      <w:r>
        <w:t xml:space="preserve">In the centre of the mews development lies a 3no. bay car garage which is of historic character and may have been originally built as a stable, given the hayloft door within the roof space and traditional clay tiles. The front boundary wall which encloses the mews development also appears to be of historic character. No. 2a is of brick and tile construction with a small roof canopy over the front entrance. On the rear elevation, there is a projecting rear gable, which matches the design of No. 2 forming a symmetrical dual pitch roof. </w:t>
      </w:r>
    </w:p>
    <w:p w14:paraId="0C3C6716" w14:textId="70433A87" w:rsidR="00C2652D" w:rsidRDefault="00F86F4B" w:rsidP="00F543E1">
      <w:pPr>
        <w:jc w:val="both"/>
        <w:rPr>
          <w:rFonts w:cstheme="minorHAnsi"/>
        </w:rPr>
      </w:pPr>
      <w:r w:rsidRPr="009327D6">
        <w:rPr>
          <w:rFonts w:cstheme="minorHAnsi"/>
          <w:b/>
          <w:bCs/>
          <w:u w:val="single"/>
        </w:rPr>
        <w:t>Proposal</w:t>
      </w:r>
      <w:r w:rsidR="00C2652D">
        <w:rPr>
          <w:rFonts w:cstheme="minorHAnsi"/>
        </w:rPr>
        <w:t xml:space="preserve"> </w:t>
      </w:r>
    </w:p>
    <w:p w14:paraId="4A9DA688" w14:textId="43AF0DE4" w:rsidR="00D4408D" w:rsidRPr="00EA5ACF" w:rsidRDefault="00EA5ACF" w:rsidP="00D4408D">
      <w:pPr>
        <w:pStyle w:val="Normal0"/>
        <w:rPr>
          <w:rFonts w:asciiTheme="minorHAnsi" w:hAnsiTheme="minorHAnsi" w:cstheme="minorHAnsi"/>
          <w:sz w:val="22"/>
          <w:szCs w:val="22"/>
        </w:rPr>
      </w:pPr>
      <w:r w:rsidRPr="00EA5ACF">
        <w:rPr>
          <w:rFonts w:asciiTheme="minorHAnsi" w:hAnsiTheme="minorHAnsi" w:cstheme="minorHAnsi"/>
          <w:color w:val="000000"/>
          <w:sz w:val="22"/>
          <w:szCs w:val="22"/>
          <w:shd w:val="clear" w:color="auto" w:fill="FFFFFF"/>
        </w:rPr>
        <w:t>First floor front extension and loft conversion with front dormer and rear dormer. Single storey rear extension. </w:t>
      </w:r>
    </w:p>
    <w:p w14:paraId="616D90AD" w14:textId="1BE59E66" w:rsidR="00307608" w:rsidRDefault="00307608" w:rsidP="00C32090">
      <w:pPr>
        <w:pStyle w:val="Normal0"/>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44311005" w14:textId="24C719E3" w:rsidR="00D4408D" w:rsidRPr="00D4408D" w:rsidRDefault="00D4408D" w:rsidP="00D4408D">
      <w:pPr>
        <w:jc w:val="both"/>
      </w:pPr>
      <w:r w:rsidRPr="00E106BC">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r w:rsidR="00EA5ACF">
        <w:t xml:space="preserve">. </w:t>
      </w:r>
    </w:p>
    <w:p w14:paraId="3C7E5CDA" w14:textId="022E459C" w:rsidR="00A23626" w:rsidRPr="006D5E0B" w:rsidRDefault="00A23626" w:rsidP="00A23626">
      <w:pPr>
        <w:autoSpaceDE w:val="0"/>
        <w:autoSpaceDN w:val="0"/>
        <w:adjustRightInd w:val="0"/>
        <w:jc w:val="both"/>
        <w:rPr>
          <w:rFonts w:cstheme="minorHAnsi"/>
          <w:b/>
          <w:bCs/>
        </w:rPr>
      </w:pPr>
      <w:r w:rsidRPr="006D5E0B">
        <w:rPr>
          <w:rFonts w:cstheme="minorHAnsi"/>
          <w:b/>
          <w:bCs/>
        </w:rPr>
        <w:t>NPPF</w:t>
      </w:r>
    </w:p>
    <w:p w14:paraId="56BCEA71" w14:textId="5F2B0F1A" w:rsidR="00A23626" w:rsidRPr="00314FD1" w:rsidRDefault="00A23626" w:rsidP="00A23626">
      <w:pPr>
        <w:jc w:val="both"/>
        <w:rPr>
          <w:rFonts w:cstheme="minorHAnsi"/>
        </w:rPr>
      </w:pPr>
      <w:r w:rsidRPr="00314FD1">
        <w:rPr>
          <w:rFonts w:cstheme="minorHAnsi"/>
        </w:rPr>
        <w:t>The revised NPPF (</w:t>
      </w:r>
      <w:r>
        <w:rPr>
          <w:rFonts w:cstheme="minorHAnsi"/>
        </w:rPr>
        <w:t>December</w:t>
      </w:r>
      <w:r w:rsidRPr="00314FD1">
        <w:rPr>
          <w:rFonts w:cstheme="minorHAnsi"/>
        </w:rPr>
        <w:t xml:space="preserve"> 202</w:t>
      </w:r>
      <w:r>
        <w:rPr>
          <w:rFonts w:cstheme="minorHAnsi"/>
        </w:rPr>
        <w:t>3</w:t>
      </w:r>
      <w:r w:rsidRPr="00314FD1">
        <w:rPr>
          <w:rFonts w:cstheme="minorHAnsi"/>
        </w:rPr>
        <w:t xml:space="preserve">) sets out in Chapter 16, the core principles relating to development affecting Heritage Assets that local planning authorities should consider in making planning decisions in </w:t>
      </w:r>
      <w:r w:rsidR="00D4408D">
        <w:rPr>
          <w:rFonts w:cstheme="minorHAnsi"/>
        </w:rPr>
        <w:t xml:space="preserve">paragraphs 194 – 214. </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0765977C" w:rsidR="007A35EF" w:rsidRPr="00EA5ACF" w:rsidRDefault="00EA5ACF" w:rsidP="007A35EF">
      <w:pPr>
        <w:jc w:val="both"/>
        <w:rPr>
          <w:i/>
          <w:iCs/>
        </w:rPr>
      </w:pPr>
      <w:r w:rsidRPr="00EA5ACF">
        <w:rPr>
          <w:i/>
          <w:iCs/>
        </w:rPr>
        <w:t>‘</w:t>
      </w:r>
      <w:r w:rsidR="007A35EF" w:rsidRPr="00EA5ACF">
        <w:rPr>
          <w:i/>
          <w:iCs/>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EA5ACF">
        <w:rPr>
          <w:i/>
          <w:iCs/>
        </w:rPr>
        <w:t>’</w:t>
      </w:r>
      <w:r w:rsidR="007A35EF" w:rsidRPr="00EA5ACF">
        <w:rPr>
          <w:i/>
          <w:iCs/>
        </w:rPr>
        <w:t>.</w:t>
      </w:r>
    </w:p>
    <w:p w14:paraId="5D4F03A9" w14:textId="77777777" w:rsidR="00EA5ACF" w:rsidRDefault="007A35EF" w:rsidP="007A35EF">
      <w:pPr>
        <w:jc w:val="both"/>
      </w:pPr>
      <w:r w:rsidRPr="00673AA1">
        <w:t>Policy CP16 (1a) of the Core Strategy states</w:t>
      </w:r>
      <w:r w:rsidR="00EA5ACF">
        <w:t xml:space="preserve"> that: </w:t>
      </w:r>
    </w:p>
    <w:p w14:paraId="022F61FD" w14:textId="3B4C4CED" w:rsidR="007A35EF" w:rsidRPr="00EA5ACF" w:rsidRDefault="007A35EF" w:rsidP="007A35EF">
      <w:pPr>
        <w:jc w:val="both"/>
        <w:rPr>
          <w:i/>
          <w:iCs/>
        </w:rPr>
      </w:pPr>
      <w:r w:rsidRPr="00EA5ACF">
        <w:rPr>
          <w:i/>
          <w:iCs/>
        </w:rPr>
        <w:lastRenderedPageBreak/>
        <w:t>‘Planning permission will be granted for development that is designed to a high standard, which helps to create places where people want to live, work and relax. All development should demonstrate that its design:</w:t>
      </w:r>
    </w:p>
    <w:p w14:paraId="6ECEC87A" w14:textId="77777777" w:rsidR="007A35EF" w:rsidRPr="00EA5ACF" w:rsidRDefault="007A35EF" w:rsidP="007A35EF">
      <w:pPr>
        <w:jc w:val="both"/>
        <w:rPr>
          <w:i/>
          <w:iCs/>
        </w:rPr>
      </w:pPr>
      <w:r w:rsidRPr="00EA5ACF">
        <w:rPr>
          <w:i/>
          <w:iCs/>
        </w:rPr>
        <w:t>Identifies and responds positively to existing features of natural, historic or local character within or close to the proposed development site’.</w:t>
      </w:r>
    </w:p>
    <w:p w14:paraId="2D3B8E3F" w14:textId="77777777" w:rsidR="00EA5ACF" w:rsidRDefault="007A35EF" w:rsidP="007A35EF">
      <w:pPr>
        <w:jc w:val="both"/>
      </w:pPr>
      <w:r w:rsidRPr="00673AA1">
        <w:t>Policy DM20 of the Allocations Plan states that</w:t>
      </w:r>
      <w:r w:rsidR="00EA5ACF">
        <w:t xml:space="preserve">: </w:t>
      </w:r>
      <w:r w:rsidRPr="00673AA1">
        <w:t xml:space="preserve"> </w:t>
      </w:r>
    </w:p>
    <w:p w14:paraId="0DEDD88D" w14:textId="4BC705EF" w:rsidR="007A35EF" w:rsidRPr="00EA5ACF" w:rsidRDefault="00EA5ACF" w:rsidP="007A35EF">
      <w:pPr>
        <w:jc w:val="both"/>
        <w:rPr>
          <w:i/>
          <w:iCs/>
        </w:rPr>
      </w:pPr>
      <w:r w:rsidRPr="00EA5ACF">
        <w:rPr>
          <w:i/>
          <w:iCs/>
        </w:rPr>
        <w:t>‘P</w:t>
      </w:r>
      <w:r w:rsidR="007A35EF" w:rsidRPr="00EA5ACF">
        <w:rPr>
          <w:i/>
          <w:iCs/>
        </w:rPr>
        <w:t xml:space="preserve">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EA5ACF" w:rsidRDefault="007A35EF" w:rsidP="007A35EF">
      <w:pPr>
        <w:autoSpaceDE w:val="0"/>
        <w:autoSpaceDN w:val="0"/>
        <w:adjustRightInd w:val="0"/>
        <w:spacing w:after="0" w:line="240" w:lineRule="auto"/>
        <w:jc w:val="both"/>
        <w:rPr>
          <w:rFonts w:cs="Arial"/>
          <w:bCs/>
          <w:i/>
          <w:iCs/>
        </w:rPr>
      </w:pPr>
      <w:r w:rsidRPr="00EA5ACF">
        <w:rPr>
          <w:rFonts w:cs="Arial"/>
          <w:bCs/>
          <w:i/>
          <w:iCs/>
        </w:rPr>
        <w:t>1. Describe the significance of the asset and its setting, using appropriate expertise</w:t>
      </w:r>
    </w:p>
    <w:p w14:paraId="2DA16F5F" w14:textId="77777777" w:rsidR="007A35EF" w:rsidRPr="00EA5ACF" w:rsidRDefault="007A35EF" w:rsidP="007A35EF">
      <w:pPr>
        <w:autoSpaceDE w:val="0"/>
        <w:autoSpaceDN w:val="0"/>
        <w:adjustRightInd w:val="0"/>
        <w:spacing w:after="0" w:line="240" w:lineRule="auto"/>
        <w:jc w:val="both"/>
        <w:rPr>
          <w:rFonts w:cs="Arial"/>
          <w:bCs/>
          <w:i/>
          <w:iCs/>
        </w:rPr>
      </w:pPr>
      <w:r w:rsidRPr="00EA5ACF">
        <w:rPr>
          <w:rFonts w:cs="Arial"/>
          <w:bCs/>
          <w:i/>
          <w:iCs/>
        </w:rPr>
        <w:t>and where necessary original survey, at a level of detail proportionate to its</w:t>
      </w:r>
    </w:p>
    <w:p w14:paraId="253A59C5" w14:textId="77777777" w:rsidR="007A35EF" w:rsidRPr="00EA5ACF" w:rsidRDefault="007A35EF" w:rsidP="007A35EF">
      <w:pPr>
        <w:autoSpaceDE w:val="0"/>
        <w:autoSpaceDN w:val="0"/>
        <w:adjustRightInd w:val="0"/>
        <w:spacing w:after="0" w:line="240" w:lineRule="auto"/>
        <w:jc w:val="both"/>
        <w:rPr>
          <w:rFonts w:cs="Arial"/>
          <w:bCs/>
          <w:i/>
          <w:iCs/>
        </w:rPr>
      </w:pPr>
      <w:r w:rsidRPr="00EA5ACF">
        <w:rPr>
          <w:rFonts w:cs="Arial"/>
          <w:bCs/>
          <w:i/>
          <w:iCs/>
        </w:rPr>
        <w:t>significance and sufficient to understand the potential impact of the proposal.</w:t>
      </w:r>
    </w:p>
    <w:p w14:paraId="4A928E44" w14:textId="77777777" w:rsidR="007A35EF" w:rsidRPr="00EA5ACF" w:rsidRDefault="007A35EF" w:rsidP="007A35EF">
      <w:pPr>
        <w:autoSpaceDE w:val="0"/>
        <w:autoSpaceDN w:val="0"/>
        <w:adjustRightInd w:val="0"/>
        <w:spacing w:after="0" w:line="240" w:lineRule="auto"/>
        <w:jc w:val="both"/>
        <w:rPr>
          <w:rFonts w:cs="Arial"/>
          <w:bCs/>
          <w:i/>
          <w:iCs/>
        </w:rPr>
      </w:pPr>
    </w:p>
    <w:p w14:paraId="7368AD47" w14:textId="77777777" w:rsidR="007A35EF" w:rsidRPr="00EA5ACF" w:rsidRDefault="007A35EF" w:rsidP="007A35EF">
      <w:pPr>
        <w:autoSpaceDE w:val="0"/>
        <w:autoSpaceDN w:val="0"/>
        <w:adjustRightInd w:val="0"/>
        <w:spacing w:after="0" w:line="240" w:lineRule="auto"/>
        <w:jc w:val="both"/>
        <w:rPr>
          <w:rFonts w:cs="Arial"/>
          <w:bCs/>
          <w:i/>
          <w:iCs/>
        </w:rPr>
      </w:pPr>
      <w:r w:rsidRPr="00EA5ACF">
        <w:rPr>
          <w:rFonts w:cs="Arial"/>
          <w:bCs/>
          <w:i/>
          <w:iCs/>
        </w:rPr>
        <w:t>2. Sets out the impact of the development on the heritage assets and mitigation that is</w:t>
      </w:r>
    </w:p>
    <w:p w14:paraId="11CC7030" w14:textId="77777777" w:rsidR="007A35EF" w:rsidRPr="00EA5ACF" w:rsidRDefault="007A35EF" w:rsidP="007A35EF">
      <w:pPr>
        <w:autoSpaceDE w:val="0"/>
        <w:autoSpaceDN w:val="0"/>
        <w:adjustRightInd w:val="0"/>
        <w:spacing w:after="0" w:line="240" w:lineRule="auto"/>
        <w:jc w:val="both"/>
        <w:rPr>
          <w:rFonts w:cs="Arial"/>
          <w:bCs/>
          <w:i/>
          <w:iCs/>
        </w:rPr>
      </w:pPr>
      <w:r w:rsidRPr="00EA5ACF">
        <w:rPr>
          <w:rFonts w:cs="Arial"/>
          <w:bCs/>
          <w:i/>
          <w:iCs/>
        </w:rPr>
        <w:t>proportionate to the impact and the significance of the heritage asset, including</w:t>
      </w:r>
    </w:p>
    <w:p w14:paraId="01021250" w14:textId="2BCA21E7" w:rsidR="00307608" w:rsidRPr="00EA5ACF" w:rsidRDefault="007A35EF" w:rsidP="00C76890">
      <w:pPr>
        <w:jc w:val="both"/>
        <w:rPr>
          <w:i/>
          <w:iCs/>
        </w:rPr>
      </w:pPr>
      <w:r w:rsidRPr="00EA5ACF">
        <w:rPr>
          <w:rFonts w:cs="Arial"/>
          <w:bCs/>
          <w:i/>
          <w:iCs/>
        </w:rPr>
        <w:t>where possible positive opportunities to conserve and enjoy heritage assets.</w:t>
      </w:r>
    </w:p>
    <w:p w14:paraId="1A6ACD81" w14:textId="51E2B336"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48405988" w14:textId="415C76BD" w:rsidR="000C7AFE" w:rsidRDefault="00FE22B6"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r>
        <w:t xml:space="preserve">The current proposal is identical to a scheme proposed within a pre-application enquiry under the reference – GEN/22/00357. </w:t>
      </w:r>
    </w:p>
    <w:p w14:paraId="32933659" w14:textId="77777777" w:rsidR="00FE22B6" w:rsidRDefault="00FE22B6"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p>
    <w:p w14:paraId="03B49079" w14:textId="69A790B0" w:rsidR="00FE22B6" w:rsidRDefault="00FE22B6"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r>
        <w:t>The feedback from a her</w:t>
      </w:r>
      <w:r w:rsidR="00885DDE">
        <w:t>it</w:t>
      </w:r>
      <w:r>
        <w:t xml:space="preserve">age perspective was as follows: </w:t>
      </w:r>
    </w:p>
    <w:p w14:paraId="78B2B891" w14:textId="77777777" w:rsidR="00FE22B6" w:rsidRDefault="00FE22B6" w:rsidP="00244A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p>
    <w:p w14:paraId="2B068809" w14:textId="39E092C5" w:rsidR="00FE22B6" w:rsidRPr="00FE22B6" w:rsidRDefault="00FE22B6" w:rsidP="00FE22B6">
      <w:pPr>
        <w:jc w:val="both"/>
        <w:rPr>
          <w:i/>
          <w:iCs/>
        </w:rPr>
      </w:pPr>
      <w:r>
        <w:rPr>
          <w:i/>
          <w:iCs/>
        </w:rPr>
        <w:t>‘</w:t>
      </w:r>
      <w:r w:rsidRPr="00FE22B6">
        <w:rPr>
          <w:i/>
          <w:iCs/>
        </w:rPr>
        <w:t xml:space="preserve">The proposal would result in a complete redesign of the existing dwelling. It would feature a projecting gable end front extension which would be supported by pillars on the ground floor and extend up to include the roof level. At the rear, a dual pitch dormer extension is proposed, along with a ground floor, pitched roof extension. </w:t>
      </w:r>
    </w:p>
    <w:p w14:paraId="349D8D79" w14:textId="77777777" w:rsidR="00FE22B6" w:rsidRPr="00FE22B6" w:rsidRDefault="00FE22B6" w:rsidP="00FE22B6">
      <w:pPr>
        <w:jc w:val="both"/>
        <w:rPr>
          <w:i/>
          <w:iCs/>
        </w:rPr>
      </w:pPr>
      <w:r w:rsidRPr="00FE22B6">
        <w:rPr>
          <w:i/>
          <w:iCs/>
        </w:rPr>
        <w:t xml:space="preserve">If the dwelling were a standalone, detached structure, the design could work well with the contemporary approach. However, this property has an attached dwelling and there is a risk that the works, particularly to the front elevation, could be overbearing. </w:t>
      </w:r>
    </w:p>
    <w:p w14:paraId="1B492A62" w14:textId="41D00EF4" w:rsidR="00FE22B6" w:rsidRPr="00FE22B6" w:rsidRDefault="00FE22B6" w:rsidP="00FE22B6">
      <w:pPr>
        <w:jc w:val="both"/>
        <w:rPr>
          <w:i/>
          <w:iCs/>
        </w:rPr>
      </w:pPr>
      <w:r w:rsidRPr="00FE22B6">
        <w:rPr>
          <w:i/>
          <w:iCs/>
        </w:rPr>
        <w:t xml:space="preserve">From a heritage perspective, the consideration here is the impact on the special character of the conservation area.  No. 2A is tucked back into the corner of the mews development so is not highly visible from the immediate </w:t>
      </w:r>
      <w:proofErr w:type="spellStart"/>
      <w:r w:rsidRPr="00FE22B6">
        <w:rPr>
          <w:i/>
          <w:iCs/>
        </w:rPr>
        <w:t>streesctene</w:t>
      </w:r>
      <w:proofErr w:type="spellEnd"/>
      <w:r w:rsidRPr="00FE22B6">
        <w:rPr>
          <w:i/>
          <w:iCs/>
        </w:rPr>
        <w:t>. However, it does form part of a mews development, of which the houses have similarly designed frontages and materials. There is concern that such a significant change to the front elevation would result in the dwelling appearing out of character and contrived in the conservation area context</w:t>
      </w:r>
      <w:r>
        <w:rPr>
          <w:i/>
          <w:iCs/>
        </w:rPr>
        <w:t>’</w:t>
      </w:r>
      <w:r w:rsidRPr="00FE22B6">
        <w:rPr>
          <w:i/>
          <w:iCs/>
        </w:rPr>
        <w:t xml:space="preserve">. </w:t>
      </w:r>
    </w:p>
    <w:p w14:paraId="55BA395C" w14:textId="484CE575" w:rsidR="00885DDE" w:rsidRDefault="00885DDE" w:rsidP="00885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r>
        <w:t xml:space="preserve">As no amendments have been made since the pre-application enquiry in 2022, the above feedback still applies. </w:t>
      </w:r>
      <w:r>
        <w:t>Furthermore, the application does not include a her</w:t>
      </w:r>
      <w:r>
        <w:t>it</w:t>
      </w:r>
      <w:r>
        <w:t xml:space="preserve">age statement which assesses the impact on the designated hertiage asset, that being the Langstone Conservation Area. It does therefore not comply with Policy DM20 of the Local Plan (Allocations 2014). </w:t>
      </w:r>
    </w:p>
    <w:p w14:paraId="3D4C3CBB" w14:textId="77777777" w:rsidR="00885DDE" w:rsidRDefault="00885DDE" w:rsidP="00885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p>
    <w:p w14:paraId="2DD33286" w14:textId="7F9D4090" w:rsidR="00A35B7A" w:rsidRDefault="00885DDE" w:rsidP="00885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r>
        <w:t xml:space="preserve">Overall, there is concern that the proposal would result in less than substantial harm to the designated hertiage asset, that being the Langstone Conservation Area and would </w:t>
      </w:r>
      <w:r w:rsidR="005E71CD">
        <w:t>fail meet the test of Section 72</w:t>
      </w:r>
      <w:r w:rsidR="005E71CD" w:rsidRPr="00E106BC">
        <w:t xml:space="preserve"> of the Planning (Listed Buildings and Conservation Areas) Act 1990 </w:t>
      </w:r>
      <w:r w:rsidR="005E71CD">
        <w:t xml:space="preserve">as it would neither preserve or enhance the character and appearance of the area. </w:t>
      </w:r>
    </w:p>
    <w:p w14:paraId="3B4F46C0" w14:textId="77777777" w:rsidR="00885DDE" w:rsidRDefault="00885DDE" w:rsidP="00885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p>
    <w:p w14:paraId="5E255B02" w14:textId="77777777" w:rsidR="00885DDE" w:rsidRPr="000C7AFE" w:rsidRDefault="00885DDE" w:rsidP="00885D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04767BD8" w14:textId="7DCAE756" w:rsidR="00F86F4B" w:rsidRPr="00D626C3" w:rsidRDefault="000C7AFE" w:rsidP="00F86F4B">
      <w:pPr>
        <w:pStyle w:val="Default"/>
        <w:jc w:val="both"/>
        <w:rPr>
          <w:rFonts w:cstheme="minorHAnsi"/>
          <w:sz w:val="22"/>
          <w:szCs w:val="22"/>
        </w:rPr>
      </w:pPr>
      <w:r>
        <w:rPr>
          <w:rFonts w:cstheme="minorHAnsi"/>
          <w:b/>
          <w:bCs/>
          <w:sz w:val="22"/>
          <w:szCs w:val="22"/>
        </w:rPr>
        <w:t xml:space="preserve">OBJECTION </w:t>
      </w:r>
    </w:p>
    <w:p w14:paraId="220460CD" w14:textId="1D025577" w:rsidR="00D626C3" w:rsidRPr="00D626C3" w:rsidRDefault="00D626C3" w:rsidP="00F86F4B">
      <w:pPr>
        <w:pStyle w:val="Default"/>
        <w:jc w:val="both"/>
        <w:rPr>
          <w:rFonts w:cstheme="minorHAnsi"/>
          <w:sz w:val="22"/>
          <w:szCs w:val="22"/>
        </w:rPr>
      </w:pP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572618"/>
    <w:multiLevelType w:val="hybridMultilevel"/>
    <w:tmpl w:val="77FC88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9E1DE6"/>
    <w:multiLevelType w:val="hybridMultilevel"/>
    <w:tmpl w:val="1360B07A"/>
    <w:lvl w:ilvl="0" w:tplc="59384D8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8"/>
  </w:num>
  <w:num w:numId="7" w16cid:durableId="374933229">
    <w:abstractNumId w:val="9"/>
  </w:num>
  <w:num w:numId="8" w16cid:durableId="907615647">
    <w:abstractNumId w:val="7"/>
  </w:num>
  <w:num w:numId="9" w16cid:durableId="1637681123">
    <w:abstractNumId w:val="1"/>
  </w:num>
  <w:num w:numId="10" w16cid:durableId="385304237">
    <w:abstractNumId w:val="10"/>
  </w:num>
  <w:num w:numId="11" w16cid:durableId="16654757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C2245"/>
    <w:rsid w:val="000C2B35"/>
    <w:rsid w:val="000C7AFE"/>
    <w:rsid w:val="000D155D"/>
    <w:rsid w:val="000D6036"/>
    <w:rsid w:val="00123301"/>
    <w:rsid w:val="00185510"/>
    <w:rsid w:val="00187FF9"/>
    <w:rsid w:val="00197FEE"/>
    <w:rsid w:val="001C3AF7"/>
    <w:rsid w:val="001C75DA"/>
    <w:rsid w:val="001F385A"/>
    <w:rsid w:val="002121C1"/>
    <w:rsid w:val="00244ADB"/>
    <w:rsid w:val="00272D95"/>
    <w:rsid w:val="00272FC3"/>
    <w:rsid w:val="00280006"/>
    <w:rsid w:val="002A79BA"/>
    <w:rsid w:val="002B284B"/>
    <w:rsid w:val="002B3D0D"/>
    <w:rsid w:val="002D0D6B"/>
    <w:rsid w:val="002D765C"/>
    <w:rsid w:val="00307608"/>
    <w:rsid w:val="00332A3A"/>
    <w:rsid w:val="00346F83"/>
    <w:rsid w:val="003506DF"/>
    <w:rsid w:val="00361FE7"/>
    <w:rsid w:val="00376316"/>
    <w:rsid w:val="003F10F2"/>
    <w:rsid w:val="003F25F0"/>
    <w:rsid w:val="003F2FE4"/>
    <w:rsid w:val="003F414D"/>
    <w:rsid w:val="003F76FA"/>
    <w:rsid w:val="00410C73"/>
    <w:rsid w:val="00412C64"/>
    <w:rsid w:val="00440348"/>
    <w:rsid w:val="004542E1"/>
    <w:rsid w:val="00463D6A"/>
    <w:rsid w:val="004659F2"/>
    <w:rsid w:val="00471D44"/>
    <w:rsid w:val="004A129E"/>
    <w:rsid w:val="004A7F62"/>
    <w:rsid w:val="004D6EBB"/>
    <w:rsid w:val="004F6F64"/>
    <w:rsid w:val="00501301"/>
    <w:rsid w:val="00512EFE"/>
    <w:rsid w:val="0053206B"/>
    <w:rsid w:val="0058224A"/>
    <w:rsid w:val="00584600"/>
    <w:rsid w:val="005C1632"/>
    <w:rsid w:val="005E71CD"/>
    <w:rsid w:val="00622171"/>
    <w:rsid w:val="00624647"/>
    <w:rsid w:val="00662692"/>
    <w:rsid w:val="00673AA1"/>
    <w:rsid w:val="006855AA"/>
    <w:rsid w:val="0069659F"/>
    <w:rsid w:val="006A54BC"/>
    <w:rsid w:val="006A7AB9"/>
    <w:rsid w:val="006B5B64"/>
    <w:rsid w:val="006E6F28"/>
    <w:rsid w:val="006F2359"/>
    <w:rsid w:val="007565B2"/>
    <w:rsid w:val="00781A72"/>
    <w:rsid w:val="0079447F"/>
    <w:rsid w:val="0079518A"/>
    <w:rsid w:val="007A35EF"/>
    <w:rsid w:val="00802435"/>
    <w:rsid w:val="00852456"/>
    <w:rsid w:val="00862FC1"/>
    <w:rsid w:val="008726D6"/>
    <w:rsid w:val="008761AD"/>
    <w:rsid w:val="00885DDE"/>
    <w:rsid w:val="008B0A38"/>
    <w:rsid w:val="008D4131"/>
    <w:rsid w:val="00901AF2"/>
    <w:rsid w:val="0091676B"/>
    <w:rsid w:val="00930C2D"/>
    <w:rsid w:val="009327D6"/>
    <w:rsid w:val="00980463"/>
    <w:rsid w:val="00984F41"/>
    <w:rsid w:val="009D3585"/>
    <w:rsid w:val="009E2F11"/>
    <w:rsid w:val="009F782C"/>
    <w:rsid w:val="00A07E34"/>
    <w:rsid w:val="00A111F1"/>
    <w:rsid w:val="00A20CAF"/>
    <w:rsid w:val="00A23626"/>
    <w:rsid w:val="00A27442"/>
    <w:rsid w:val="00A35B7A"/>
    <w:rsid w:val="00A54386"/>
    <w:rsid w:val="00A63170"/>
    <w:rsid w:val="00A7172A"/>
    <w:rsid w:val="00A71E05"/>
    <w:rsid w:val="00AB323F"/>
    <w:rsid w:val="00AD5038"/>
    <w:rsid w:val="00AF354D"/>
    <w:rsid w:val="00B32D3E"/>
    <w:rsid w:val="00B42C4C"/>
    <w:rsid w:val="00B55D75"/>
    <w:rsid w:val="00B82954"/>
    <w:rsid w:val="00B90DFC"/>
    <w:rsid w:val="00B9513E"/>
    <w:rsid w:val="00BD1FE0"/>
    <w:rsid w:val="00BE1379"/>
    <w:rsid w:val="00BE1F2E"/>
    <w:rsid w:val="00BE360F"/>
    <w:rsid w:val="00BE59F6"/>
    <w:rsid w:val="00BF67AB"/>
    <w:rsid w:val="00C02690"/>
    <w:rsid w:val="00C05141"/>
    <w:rsid w:val="00C1074B"/>
    <w:rsid w:val="00C11393"/>
    <w:rsid w:val="00C2652D"/>
    <w:rsid w:val="00C32090"/>
    <w:rsid w:val="00C76890"/>
    <w:rsid w:val="00CA11A3"/>
    <w:rsid w:val="00CC5104"/>
    <w:rsid w:val="00CC7B4C"/>
    <w:rsid w:val="00CD4C97"/>
    <w:rsid w:val="00CE4CC6"/>
    <w:rsid w:val="00D10755"/>
    <w:rsid w:val="00D36325"/>
    <w:rsid w:val="00D4408D"/>
    <w:rsid w:val="00D4474D"/>
    <w:rsid w:val="00D626C3"/>
    <w:rsid w:val="00D862C6"/>
    <w:rsid w:val="00DA19B4"/>
    <w:rsid w:val="00DD38FB"/>
    <w:rsid w:val="00E10CD5"/>
    <w:rsid w:val="00E236AF"/>
    <w:rsid w:val="00E307EA"/>
    <w:rsid w:val="00E31470"/>
    <w:rsid w:val="00E31B3A"/>
    <w:rsid w:val="00E436C1"/>
    <w:rsid w:val="00E604DA"/>
    <w:rsid w:val="00E8381B"/>
    <w:rsid w:val="00EA43A9"/>
    <w:rsid w:val="00EA5ACF"/>
    <w:rsid w:val="00EF0C74"/>
    <w:rsid w:val="00F14AFD"/>
    <w:rsid w:val="00F45927"/>
    <w:rsid w:val="00F543E1"/>
    <w:rsid w:val="00F55D8A"/>
    <w:rsid w:val="00F84D3D"/>
    <w:rsid w:val="00F86F4B"/>
    <w:rsid w:val="00F91CAF"/>
    <w:rsid w:val="00F91FE6"/>
    <w:rsid w:val="00FE22B6"/>
    <w:rsid w:val="00FE4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uiPriority w:val="99"/>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28805471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6CE2B-48B9-4A9C-8DDC-06F5E0939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3</cp:revision>
  <cp:lastPrinted>2023-05-16T08:59:00Z</cp:lastPrinted>
  <dcterms:created xsi:type="dcterms:W3CDTF">2024-05-17T15:17:00Z</dcterms:created>
  <dcterms:modified xsi:type="dcterms:W3CDTF">2024-05-17T15:35:00Z</dcterms:modified>
</cp:coreProperties>
</file>