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948F4C" w14:textId="77777777" w:rsidR="00F91FE6" w:rsidRPr="009327D6" w:rsidRDefault="00F91FE6" w:rsidP="00852456">
      <w:pPr>
        <w:jc w:val="both"/>
        <w:rPr>
          <w:rFonts w:cstheme="minorHAnsi"/>
          <w:b/>
          <w:u w:val="single"/>
        </w:rPr>
      </w:pPr>
      <w:r w:rsidRPr="009327D6">
        <w:rPr>
          <w:rFonts w:cstheme="minorHAnsi"/>
          <w:b/>
          <w:u w:val="single"/>
        </w:rPr>
        <w:t xml:space="preserve">Heritage Team Response </w:t>
      </w:r>
    </w:p>
    <w:p w14:paraId="414A1E9E" w14:textId="03D1837B" w:rsidR="00F91FE6" w:rsidRPr="009327D6" w:rsidRDefault="00F91FE6" w:rsidP="00852456">
      <w:pPr>
        <w:jc w:val="both"/>
        <w:rPr>
          <w:rFonts w:cstheme="minorHAnsi"/>
          <w:b/>
          <w:u w:val="single"/>
        </w:rPr>
      </w:pPr>
      <w:r w:rsidRPr="009327D6">
        <w:rPr>
          <w:rFonts w:cstheme="minorHAnsi"/>
          <w:b/>
          <w:u w:val="single"/>
        </w:rPr>
        <w:t xml:space="preserve">Date – </w:t>
      </w:r>
      <w:r w:rsidR="00D13092">
        <w:rPr>
          <w:rFonts w:cstheme="minorHAnsi"/>
          <w:b/>
          <w:u w:val="single"/>
        </w:rPr>
        <w:t>2</w:t>
      </w:r>
      <w:r w:rsidR="00B34F11">
        <w:rPr>
          <w:rFonts w:cstheme="minorHAnsi"/>
          <w:b/>
          <w:u w:val="single"/>
        </w:rPr>
        <w:t>/</w:t>
      </w:r>
      <w:r w:rsidR="00D13092">
        <w:rPr>
          <w:rFonts w:cstheme="minorHAnsi"/>
          <w:b/>
          <w:u w:val="single"/>
        </w:rPr>
        <w:t>10</w:t>
      </w:r>
      <w:r w:rsidR="00B34F11">
        <w:rPr>
          <w:rFonts w:cstheme="minorHAnsi"/>
          <w:b/>
          <w:u w:val="single"/>
        </w:rPr>
        <w:t>/2024</w:t>
      </w:r>
    </w:p>
    <w:p w14:paraId="53855C3A" w14:textId="76755D9C" w:rsidR="00852456" w:rsidRPr="0095239C" w:rsidRDefault="00F86F4B" w:rsidP="00852456">
      <w:pPr>
        <w:jc w:val="both"/>
        <w:rPr>
          <w:rFonts w:cstheme="minorHAnsi"/>
          <w:b/>
          <w:i/>
          <w:iCs/>
          <w:u w:val="single"/>
        </w:rPr>
      </w:pPr>
      <w:r>
        <w:rPr>
          <w:rFonts w:cstheme="minorHAnsi"/>
          <w:b/>
          <w:u w:val="single"/>
        </w:rPr>
        <w:t>APP/2</w:t>
      </w:r>
      <w:r w:rsidR="006C3623">
        <w:rPr>
          <w:rFonts w:cstheme="minorHAnsi"/>
          <w:b/>
          <w:u w:val="single"/>
        </w:rPr>
        <w:t>4</w:t>
      </w:r>
      <w:r w:rsidR="00272FC3">
        <w:rPr>
          <w:rFonts w:cstheme="minorHAnsi"/>
          <w:b/>
          <w:u w:val="single"/>
        </w:rPr>
        <w:t>/</w:t>
      </w:r>
      <w:r w:rsidR="00463D6A">
        <w:rPr>
          <w:rFonts w:cstheme="minorHAnsi"/>
          <w:b/>
          <w:u w:val="single"/>
        </w:rPr>
        <w:t>00</w:t>
      </w:r>
      <w:r w:rsidR="006C3623">
        <w:rPr>
          <w:rFonts w:cstheme="minorHAnsi"/>
          <w:b/>
          <w:u w:val="single"/>
        </w:rPr>
        <w:t>1</w:t>
      </w:r>
      <w:r w:rsidR="00B34F11">
        <w:rPr>
          <w:rFonts w:cstheme="minorHAnsi"/>
          <w:b/>
          <w:u w:val="single"/>
        </w:rPr>
        <w:t>99</w:t>
      </w:r>
    </w:p>
    <w:p w14:paraId="350F6DC5" w14:textId="62C5614E" w:rsidR="00B971B9" w:rsidRDefault="00B971B9" w:rsidP="00852456">
      <w:pPr>
        <w:jc w:val="both"/>
        <w:rPr>
          <w:rFonts w:cstheme="minorHAnsi"/>
          <w:b/>
          <w:u w:val="single"/>
        </w:rPr>
      </w:pPr>
      <w:r>
        <w:rPr>
          <w:rFonts w:cstheme="minorHAnsi"/>
          <w:b/>
          <w:u w:val="single"/>
        </w:rPr>
        <w:t xml:space="preserve">Application site </w:t>
      </w:r>
      <w:r w:rsidR="00BB7AEB">
        <w:rPr>
          <w:rFonts w:cstheme="minorHAnsi"/>
          <w:b/>
          <w:u w:val="single"/>
        </w:rPr>
        <w:t>–</w:t>
      </w:r>
      <w:r>
        <w:rPr>
          <w:rFonts w:cstheme="minorHAnsi"/>
          <w:b/>
          <w:u w:val="single"/>
        </w:rPr>
        <w:t xml:space="preserve"> </w:t>
      </w:r>
      <w:r w:rsidR="00B34F11">
        <w:rPr>
          <w:rFonts w:cstheme="minorHAnsi"/>
          <w:b/>
          <w:u w:val="single"/>
        </w:rPr>
        <w:t xml:space="preserve">Church House, The Pallant, Havant </w:t>
      </w:r>
    </w:p>
    <w:p w14:paraId="074D5120" w14:textId="4EF7293F" w:rsidR="00F86F4B" w:rsidRDefault="00E8381B" w:rsidP="006D49F2">
      <w:pPr>
        <w:tabs>
          <w:tab w:val="left" w:pos="1140"/>
        </w:tabs>
        <w:jc w:val="both"/>
        <w:rPr>
          <w:rFonts w:cstheme="minorHAnsi"/>
          <w:b/>
          <w:u w:val="single"/>
        </w:rPr>
      </w:pPr>
      <w:r>
        <w:rPr>
          <w:rFonts w:cstheme="minorHAnsi"/>
          <w:b/>
          <w:u w:val="single"/>
        </w:rPr>
        <w:t>Site</w:t>
      </w:r>
    </w:p>
    <w:p w14:paraId="7790D526" w14:textId="744A0950" w:rsidR="005B6CE2" w:rsidRDefault="00CA344C" w:rsidP="00CA344C">
      <w:pPr>
        <w:tabs>
          <w:tab w:val="left" w:pos="1140"/>
        </w:tabs>
        <w:jc w:val="both"/>
        <w:rPr>
          <w:rFonts w:cstheme="minorHAnsi"/>
          <w:bCs/>
        </w:rPr>
      </w:pPr>
      <w:r w:rsidRPr="00CA344C">
        <w:rPr>
          <w:rFonts w:cstheme="minorHAnsi"/>
          <w:bCs/>
        </w:rPr>
        <w:t>The site is located</w:t>
      </w:r>
      <w:r>
        <w:rPr>
          <w:rFonts w:cstheme="minorHAnsi"/>
          <w:bCs/>
        </w:rPr>
        <w:t xml:space="preserve"> on the corner of The Pallant and Prince George Street within Havant Town Centre. It comprises a two-storey building</w:t>
      </w:r>
      <w:r w:rsidR="005B6CE2">
        <w:rPr>
          <w:rFonts w:cstheme="minorHAnsi"/>
          <w:bCs/>
        </w:rPr>
        <w:t xml:space="preserve">, comprising several different sections. It is also within the St Faiths Conservation Area. </w:t>
      </w:r>
    </w:p>
    <w:p w14:paraId="50D117ED" w14:textId="00E8A1B9" w:rsidR="00CA344C" w:rsidRPr="00CA344C" w:rsidRDefault="00CA344C" w:rsidP="00CA344C">
      <w:pPr>
        <w:tabs>
          <w:tab w:val="left" w:pos="1140"/>
        </w:tabs>
        <w:jc w:val="both"/>
        <w:rPr>
          <w:rFonts w:cstheme="minorHAnsi"/>
          <w:bCs/>
        </w:rPr>
      </w:pPr>
      <w:r>
        <w:t xml:space="preserve">The property has been Grade II listed by Historic England with the following listing description: </w:t>
      </w:r>
    </w:p>
    <w:p w14:paraId="008FC36E" w14:textId="77777777" w:rsidR="00CA344C" w:rsidRPr="005B6CE2" w:rsidRDefault="00CA344C" w:rsidP="00CA344C">
      <w:pPr>
        <w:jc w:val="both"/>
        <w:rPr>
          <w:i/>
          <w:iCs/>
        </w:rPr>
      </w:pPr>
      <w:r>
        <w:t>‘</w:t>
      </w:r>
      <w:r w:rsidRPr="005B6CE2">
        <w:rPr>
          <w:i/>
          <w:iCs/>
        </w:rPr>
        <w:t>House (church office). C18, with early C19 alterations. Brick, with a tile roof. Symmetrical north side of 2 storeys and attic, 3 windows. Tile roof with coved plastered eaves, 3 hipped dormers with sashes. Painted brick walling in Flemish bond, rubbed flat arches, plastered 1st floor band and plinth. Victorian sashes. The west gable, with southward extensions, includes decorated cusped bargeboards and a porch of 4 columns, with cornice, panelled frieze, 6-flush-panelled door between side windows. The long east wing has a tile roof, brick dentil eaves, red brick walls in Flemish bond, rubbed flat arches, and Victorian sashes. The plain, brick and tile, stable block at the south-west corner, is used as a shop’.</w:t>
      </w:r>
    </w:p>
    <w:p w14:paraId="6BB19986" w14:textId="73735C66" w:rsidR="00D640E7" w:rsidRPr="005B6CE2" w:rsidRDefault="005B6CE2" w:rsidP="005B6CE2">
      <w:pPr>
        <w:tabs>
          <w:tab w:val="left" w:pos="1140"/>
        </w:tabs>
        <w:jc w:val="both"/>
        <w:rPr>
          <w:rFonts w:cstheme="minorHAnsi"/>
          <w:bCs/>
        </w:rPr>
      </w:pPr>
      <w:r>
        <w:rPr>
          <w:rFonts w:cstheme="minorHAnsi"/>
          <w:bCs/>
        </w:rPr>
        <w:t xml:space="preserve">The frontage to the building is on The Pallant, whilst the rear of the site is enclosed by a historic brick boundary wall and which also includes a car park. </w:t>
      </w:r>
      <w:r w:rsidR="005F00C5">
        <w:rPr>
          <w:rFonts w:cstheme="minorHAnsi"/>
          <w:bCs/>
        </w:rPr>
        <w:t>Th</w:t>
      </w:r>
      <w:r>
        <w:rPr>
          <w:rFonts w:cstheme="minorHAnsi"/>
          <w:bCs/>
        </w:rPr>
        <w:t xml:space="preserve">e site </w:t>
      </w:r>
      <w:r w:rsidR="005F00C5">
        <w:rPr>
          <w:rFonts w:cstheme="minorHAnsi"/>
          <w:bCs/>
        </w:rPr>
        <w:t xml:space="preserve">complex </w:t>
      </w:r>
      <w:r>
        <w:rPr>
          <w:rFonts w:cstheme="minorHAnsi"/>
          <w:bCs/>
        </w:rPr>
        <w:t xml:space="preserve">also includes Pallant Hall which is used for community use. </w:t>
      </w:r>
    </w:p>
    <w:p w14:paraId="616D90AD" w14:textId="7565A2BE" w:rsidR="00307608" w:rsidRDefault="00F86F4B" w:rsidP="00B971B9">
      <w:pPr>
        <w:jc w:val="both"/>
        <w:rPr>
          <w:rFonts w:cstheme="minorHAnsi"/>
        </w:rPr>
      </w:pPr>
      <w:r w:rsidRPr="009327D6">
        <w:rPr>
          <w:rFonts w:cstheme="minorHAnsi"/>
          <w:b/>
          <w:bCs/>
          <w:u w:val="single"/>
        </w:rPr>
        <w:t>Proposal</w:t>
      </w:r>
      <w:r w:rsidR="00C2652D">
        <w:rPr>
          <w:rFonts w:cstheme="minorHAnsi"/>
        </w:rPr>
        <w:t xml:space="preserve"> </w:t>
      </w:r>
    </w:p>
    <w:p w14:paraId="46581664" w14:textId="77777777" w:rsidR="008C256F" w:rsidRDefault="004D1FD8" w:rsidP="00E87EB0">
      <w:pPr>
        <w:pStyle w:val="Normal0"/>
        <w:jc w:val="both"/>
        <w:rPr>
          <w:rFonts w:asciiTheme="minorHAnsi" w:hAnsiTheme="minorHAnsi" w:cstheme="minorHAnsi"/>
          <w:sz w:val="22"/>
          <w:szCs w:val="22"/>
        </w:rPr>
      </w:pPr>
      <w:r>
        <w:rPr>
          <w:rFonts w:asciiTheme="minorHAnsi" w:hAnsiTheme="minorHAnsi" w:cstheme="minorHAnsi"/>
          <w:sz w:val="22"/>
          <w:szCs w:val="22"/>
        </w:rPr>
        <w:t xml:space="preserve">Listed building consent for </w:t>
      </w:r>
      <w:r w:rsidR="00CA344C">
        <w:rPr>
          <w:rFonts w:asciiTheme="minorHAnsi" w:hAnsiTheme="minorHAnsi" w:cstheme="minorHAnsi"/>
          <w:sz w:val="22"/>
          <w:szCs w:val="22"/>
        </w:rPr>
        <w:t>replacement of 5no. ground floor windows</w:t>
      </w:r>
      <w:r w:rsidR="005F00C5">
        <w:rPr>
          <w:rFonts w:asciiTheme="minorHAnsi" w:hAnsiTheme="minorHAnsi" w:cstheme="minorHAnsi"/>
          <w:sz w:val="22"/>
          <w:szCs w:val="22"/>
        </w:rPr>
        <w:t xml:space="preserve">. </w:t>
      </w:r>
    </w:p>
    <w:p w14:paraId="422A9500" w14:textId="77777777" w:rsidR="008C256F" w:rsidRDefault="008C256F" w:rsidP="00E87EB0">
      <w:pPr>
        <w:pStyle w:val="Normal0"/>
        <w:jc w:val="both"/>
        <w:rPr>
          <w:rFonts w:asciiTheme="minorHAnsi" w:hAnsiTheme="minorHAnsi" w:cstheme="minorHAnsi"/>
          <w:sz w:val="22"/>
          <w:szCs w:val="22"/>
        </w:rPr>
      </w:pPr>
    </w:p>
    <w:p w14:paraId="387BC7FA" w14:textId="3C5FCC3A" w:rsidR="00375278" w:rsidRPr="00C636B7" w:rsidRDefault="005F00C5" w:rsidP="00E87EB0">
      <w:pPr>
        <w:pStyle w:val="Normal0"/>
        <w:jc w:val="both"/>
        <w:rPr>
          <w:rFonts w:asciiTheme="minorHAnsi" w:hAnsiTheme="minorHAnsi" w:cstheme="minorHAnsi"/>
          <w:sz w:val="22"/>
          <w:szCs w:val="22"/>
        </w:rPr>
      </w:pPr>
      <w:r>
        <w:rPr>
          <w:rFonts w:asciiTheme="minorHAnsi" w:hAnsiTheme="minorHAnsi" w:cstheme="minorHAnsi"/>
          <w:sz w:val="22"/>
          <w:szCs w:val="22"/>
        </w:rPr>
        <w:t>The proposal is to replace these with like for like</w:t>
      </w:r>
      <w:r w:rsidR="008C256F">
        <w:rPr>
          <w:rFonts w:asciiTheme="minorHAnsi" w:hAnsiTheme="minorHAnsi" w:cstheme="minorHAnsi"/>
          <w:sz w:val="22"/>
          <w:szCs w:val="22"/>
        </w:rPr>
        <w:t>,</w:t>
      </w:r>
      <w:r>
        <w:rPr>
          <w:rFonts w:asciiTheme="minorHAnsi" w:hAnsiTheme="minorHAnsi" w:cstheme="minorHAnsi"/>
          <w:sz w:val="22"/>
          <w:szCs w:val="22"/>
        </w:rPr>
        <w:t xml:space="preserve"> wooden frame</w:t>
      </w:r>
      <w:r w:rsidR="008C256F">
        <w:rPr>
          <w:rFonts w:asciiTheme="minorHAnsi" w:hAnsiTheme="minorHAnsi" w:cstheme="minorHAnsi"/>
          <w:sz w:val="22"/>
          <w:szCs w:val="22"/>
        </w:rPr>
        <w:t>,</w:t>
      </w:r>
      <w:r>
        <w:rPr>
          <w:rFonts w:asciiTheme="minorHAnsi" w:hAnsiTheme="minorHAnsi" w:cstheme="minorHAnsi"/>
          <w:sz w:val="22"/>
          <w:szCs w:val="22"/>
        </w:rPr>
        <w:t xml:space="preserve"> sash windows</w:t>
      </w:r>
      <w:r w:rsidR="008C256F">
        <w:rPr>
          <w:rFonts w:asciiTheme="minorHAnsi" w:hAnsiTheme="minorHAnsi" w:cstheme="minorHAnsi"/>
          <w:sz w:val="22"/>
          <w:szCs w:val="22"/>
        </w:rPr>
        <w:t>. It is proposed to replace these with slim line style double glazing (6-4-6mm). The finish will be white painted windows with black architraves as existing.</w:t>
      </w:r>
    </w:p>
    <w:p w14:paraId="417A57F2" w14:textId="77777777" w:rsidR="00B971B9" w:rsidRDefault="00B971B9" w:rsidP="00F86F4B">
      <w:pPr>
        <w:autoSpaceDE w:val="0"/>
        <w:autoSpaceDN w:val="0"/>
        <w:adjustRightInd w:val="0"/>
        <w:spacing w:after="0" w:line="240" w:lineRule="auto"/>
        <w:rPr>
          <w:rFonts w:cstheme="minorHAnsi"/>
        </w:rPr>
      </w:pPr>
    </w:p>
    <w:p w14:paraId="4C86CEDC" w14:textId="77777777" w:rsidR="007A35EF" w:rsidRPr="00D36325" w:rsidRDefault="007A35EF" w:rsidP="007A35EF">
      <w:pPr>
        <w:jc w:val="both"/>
        <w:rPr>
          <w:b/>
          <w:u w:val="single"/>
        </w:rPr>
      </w:pPr>
      <w:r w:rsidRPr="00D36325">
        <w:rPr>
          <w:b/>
          <w:u w:val="single"/>
        </w:rPr>
        <w:t xml:space="preserve">Legislative and Policy Context: </w:t>
      </w:r>
    </w:p>
    <w:p w14:paraId="6ABAB3E6" w14:textId="77777777" w:rsidR="007A35EF" w:rsidRPr="00A074B9" w:rsidRDefault="007A35EF" w:rsidP="007A35EF">
      <w:pPr>
        <w:jc w:val="both"/>
      </w:pPr>
      <w:r w:rsidRPr="00673AA1">
        <w:t xml:space="preserve">When assessing the proposal, the following legislation and policy context is taken in consideration. </w:t>
      </w:r>
    </w:p>
    <w:p w14:paraId="17946090" w14:textId="77777777" w:rsidR="007A35EF" w:rsidRPr="00745AC2" w:rsidRDefault="007A35EF" w:rsidP="007A35EF">
      <w:pPr>
        <w:rPr>
          <w:rFonts w:cstheme="minorHAnsi"/>
          <w:u w:val="single"/>
        </w:rPr>
      </w:pPr>
      <w:r w:rsidRPr="00745AC2">
        <w:rPr>
          <w:rFonts w:cstheme="minorHAnsi"/>
        </w:rPr>
        <w:t>Section 16 of the Planning (Listed Buildings and Conservation Areas) Act 1990 ("1990 Act") requires local planning authorities to have special regard to the desirability of preserving a listed building, its setting or any features of special architectural or historic interest when considering whether to grant listed building consent.</w:t>
      </w:r>
    </w:p>
    <w:p w14:paraId="32493E45" w14:textId="70CF3CD1" w:rsidR="007A35EF" w:rsidRDefault="007A35EF" w:rsidP="007A35EF">
      <w:pPr>
        <w:autoSpaceDE w:val="0"/>
        <w:autoSpaceDN w:val="0"/>
        <w:adjustRightInd w:val="0"/>
        <w:jc w:val="both"/>
        <w:rPr>
          <w:rFonts w:eastAsia="ArialMT" w:cstheme="minorHAnsi"/>
        </w:rPr>
      </w:pPr>
      <w:r w:rsidRPr="00745AC2">
        <w:rPr>
          <w:rFonts w:eastAsia="ArialMT" w:cstheme="minorHAnsi"/>
        </w:rPr>
        <w:t>Section 66 of the Planning (Listed Buildings and Conservation Areas) Act 1990 requires planning authorities, when considering whether to grant planning permission for development which affects a listed building or its setting, to have special regard to the desirability of preserving the building or its setting or any features of special architectural or historic interest which it possesses.</w:t>
      </w:r>
    </w:p>
    <w:p w14:paraId="1EFCD0D6" w14:textId="77777777" w:rsidR="00BB7AEB" w:rsidRDefault="00BB7AEB" w:rsidP="00BB7AEB">
      <w:pPr>
        <w:jc w:val="both"/>
        <w:rPr>
          <w:rFonts w:cstheme="minorHAnsi"/>
        </w:rPr>
      </w:pPr>
      <w:r>
        <w:rPr>
          <w:rFonts w:ascii="Calibri" w:hAnsi="Calibri" w:cs="Calibri"/>
          <w:color w:val="000000"/>
        </w:rPr>
        <w:t>Section 72 of the Planning (Listed Buildings and Conservation Areas) Act 1990 requires planning authorities, when considering whether to grant planning permission for development which affects a Conservation Area, to have special regard to the desirability of preserving or enhancing the character and appearance of that area.</w:t>
      </w:r>
    </w:p>
    <w:p w14:paraId="2FDF03AD" w14:textId="77777777" w:rsidR="007A35EF" w:rsidRPr="006D5E0B" w:rsidRDefault="007A35EF" w:rsidP="007A35EF">
      <w:pPr>
        <w:autoSpaceDE w:val="0"/>
        <w:autoSpaceDN w:val="0"/>
        <w:adjustRightInd w:val="0"/>
        <w:jc w:val="both"/>
        <w:rPr>
          <w:rFonts w:cstheme="minorHAnsi"/>
          <w:b/>
          <w:bCs/>
        </w:rPr>
      </w:pPr>
      <w:r w:rsidRPr="006D5E0B">
        <w:rPr>
          <w:rFonts w:cstheme="minorHAnsi"/>
          <w:b/>
          <w:bCs/>
        </w:rPr>
        <w:lastRenderedPageBreak/>
        <w:t>NPPF</w:t>
      </w:r>
    </w:p>
    <w:p w14:paraId="4F20352C" w14:textId="77777777" w:rsidR="00E87EB0" w:rsidRDefault="007A35EF" w:rsidP="00E87EB0">
      <w:pPr>
        <w:jc w:val="both"/>
        <w:rPr>
          <w:rFonts w:cstheme="minorHAnsi"/>
        </w:rPr>
      </w:pPr>
      <w:r w:rsidRPr="00314FD1">
        <w:rPr>
          <w:rFonts w:cstheme="minorHAnsi"/>
        </w:rPr>
        <w:t>The revised NPPF (</w:t>
      </w:r>
      <w:r w:rsidR="004049AC">
        <w:rPr>
          <w:rFonts w:cstheme="minorHAnsi"/>
        </w:rPr>
        <w:t>December</w:t>
      </w:r>
      <w:r w:rsidRPr="00314FD1">
        <w:rPr>
          <w:rFonts w:cstheme="minorHAnsi"/>
        </w:rPr>
        <w:t xml:space="preserve"> 202</w:t>
      </w:r>
      <w:r w:rsidR="00AE5E35">
        <w:rPr>
          <w:rFonts w:cstheme="minorHAnsi"/>
        </w:rPr>
        <w:t>3</w:t>
      </w:r>
      <w:r w:rsidRPr="00314FD1">
        <w:rPr>
          <w:rFonts w:cstheme="minorHAnsi"/>
        </w:rPr>
        <w:t>) sets out in Chapter 16, the core principles relating to development affecting Heritage Assets that local planning authorities should consider in making planning decisions in the following paragraphs:</w:t>
      </w:r>
      <w:r w:rsidR="005805AC">
        <w:rPr>
          <w:rFonts w:cstheme="minorHAnsi"/>
        </w:rPr>
        <w:t xml:space="preserve"> 195 – 214. </w:t>
      </w:r>
    </w:p>
    <w:p w14:paraId="2DDA4F87" w14:textId="14F67CD8" w:rsidR="007A35EF" w:rsidRPr="00E87EB0" w:rsidRDefault="007A35EF" w:rsidP="00E87EB0">
      <w:pPr>
        <w:jc w:val="both"/>
        <w:rPr>
          <w:rFonts w:cstheme="minorHAnsi"/>
        </w:rPr>
      </w:pPr>
      <w:r w:rsidRPr="006D5E0B">
        <w:rPr>
          <w:rFonts w:cstheme="minorHAnsi"/>
          <w:b/>
          <w:bCs/>
          <w:color w:val="0B0C0C"/>
        </w:rPr>
        <w:t>Local Plan</w:t>
      </w:r>
    </w:p>
    <w:p w14:paraId="2B29A9EA" w14:textId="64BDE637" w:rsidR="007A35EF" w:rsidRPr="00673AA1" w:rsidRDefault="007A35EF" w:rsidP="007A35EF">
      <w:pPr>
        <w:jc w:val="both"/>
      </w:pPr>
      <w:r>
        <w:rPr>
          <w:rFonts w:cstheme="minorHAnsi"/>
        </w:rPr>
        <w:t xml:space="preserve">Local planning policy comprises the adopted Havant Borough Local Plan Core Strategy 2011, along with the Allocations Plan 2014. </w:t>
      </w:r>
      <w:r w:rsidRPr="00673AA1">
        <w:t xml:space="preserve">With regards to local planning policy, the following </w:t>
      </w:r>
      <w:r w:rsidR="00415C7E">
        <w:t xml:space="preserve">policies </w:t>
      </w:r>
      <w:r w:rsidRPr="00673AA1">
        <w:t xml:space="preserve">are relevant: </w:t>
      </w:r>
    </w:p>
    <w:p w14:paraId="78682E80" w14:textId="77777777" w:rsidR="007A35EF" w:rsidRPr="00673AA1" w:rsidRDefault="007A35EF" w:rsidP="007A35EF">
      <w:pPr>
        <w:jc w:val="both"/>
        <w:rPr>
          <w:bCs/>
        </w:rPr>
      </w:pPr>
      <w:r w:rsidRPr="00673AA1">
        <w:t xml:space="preserve">Policy CS11 of the Core Strategy states that </w:t>
      </w:r>
      <w:r w:rsidRPr="00673AA1">
        <w:rPr>
          <w:bCs/>
        </w:rPr>
        <w:t>planning permission will be granted for development that:</w:t>
      </w:r>
    </w:p>
    <w:p w14:paraId="4FCCE30E" w14:textId="5A4606C1" w:rsidR="007A35EF" w:rsidRPr="00415C7E" w:rsidRDefault="00415C7E" w:rsidP="007A35EF">
      <w:pPr>
        <w:jc w:val="both"/>
        <w:rPr>
          <w:i/>
          <w:iCs/>
        </w:rPr>
      </w:pPr>
      <w:r w:rsidRPr="00415C7E">
        <w:rPr>
          <w:i/>
          <w:iCs/>
        </w:rPr>
        <w:t>‘</w:t>
      </w:r>
      <w:r w:rsidR="007A35EF" w:rsidRPr="00415C7E">
        <w:rPr>
          <w:i/>
          <w:iCs/>
        </w:rPr>
        <w:t>Protects and where appropriate enhances the borough’s statutory and non-statutory heritage designations by appropriately managing development in or adjacent to conservation areas, listed buildings, scheduled ancient monuments, historic parks and gardens, archaeological sites, buildings of local historic or architectural interest</w:t>
      </w:r>
      <w:r w:rsidRPr="00415C7E">
        <w:rPr>
          <w:i/>
          <w:iCs/>
        </w:rPr>
        <w:t>’</w:t>
      </w:r>
      <w:r w:rsidR="007A35EF" w:rsidRPr="00415C7E">
        <w:rPr>
          <w:i/>
          <w:iCs/>
        </w:rPr>
        <w:t>.</w:t>
      </w:r>
    </w:p>
    <w:p w14:paraId="022F61FD" w14:textId="77777777" w:rsidR="007A35EF" w:rsidRPr="00673AA1" w:rsidRDefault="007A35EF" w:rsidP="007A35EF">
      <w:pPr>
        <w:jc w:val="both"/>
      </w:pPr>
      <w:r w:rsidRPr="00673AA1">
        <w:t>Policy CP16 (1a) of the Core Strategy states ‘Planning permission will be granted for development that is designed to a high standard, which helps to create places where people want to live, work and relax. All development should demonstrate that its design:</w:t>
      </w:r>
    </w:p>
    <w:p w14:paraId="6ECEC87A" w14:textId="3210CF2B" w:rsidR="007A35EF" w:rsidRPr="00415C7E" w:rsidRDefault="00415C7E" w:rsidP="007A35EF">
      <w:pPr>
        <w:jc w:val="both"/>
        <w:rPr>
          <w:i/>
          <w:iCs/>
        </w:rPr>
      </w:pPr>
      <w:r w:rsidRPr="00415C7E">
        <w:rPr>
          <w:i/>
          <w:iCs/>
        </w:rPr>
        <w:t>‘</w:t>
      </w:r>
      <w:r w:rsidR="007A35EF" w:rsidRPr="00415C7E">
        <w:rPr>
          <w:i/>
          <w:iCs/>
        </w:rPr>
        <w:t>Identifies and responds positively to existing features of natural, historic or local character within or close to the proposed development site’.</w:t>
      </w:r>
    </w:p>
    <w:p w14:paraId="5A9C62FA" w14:textId="77777777" w:rsidR="00415C7E" w:rsidRDefault="007A35EF" w:rsidP="007A35EF">
      <w:pPr>
        <w:jc w:val="both"/>
      </w:pPr>
      <w:r w:rsidRPr="00673AA1">
        <w:t>Policy DM20 of the Allocations Plan states that</w:t>
      </w:r>
      <w:r w:rsidR="00415C7E">
        <w:t>:</w:t>
      </w:r>
      <w:r w:rsidRPr="00673AA1">
        <w:t xml:space="preserve"> </w:t>
      </w:r>
    </w:p>
    <w:p w14:paraId="0DEDD88D" w14:textId="17ED1BFD" w:rsidR="007A35EF" w:rsidRPr="00415C7E" w:rsidRDefault="00415C7E" w:rsidP="007A35EF">
      <w:pPr>
        <w:jc w:val="both"/>
        <w:rPr>
          <w:i/>
          <w:iCs/>
        </w:rPr>
      </w:pPr>
      <w:r>
        <w:t>‘</w:t>
      </w:r>
      <w:r>
        <w:rPr>
          <w:i/>
          <w:iCs/>
        </w:rPr>
        <w:t>P</w:t>
      </w:r>
      <w:r w:rsidR="007A35EF" w:rsidRPr="00415C7E">
        <w:rPr>
          <w:i/>
          <w:iCs/>
        </w:rPr>
        <w:t xml:space="preserve">lanning permission will be granted for development proposals that conserves and enhances the historic assets of Havant. It also states that application which affect, or have the potential to affect, heritage assets are expected to provide a Heritage Statement that: </w:t>
      </w:r>
    </w:p>
    <w:p w14:paraId="789956BC" w14:textId="77777777" w:rsidR="007A35EF" w:rsidRPr="00415C7E" w:rsidRDefault="007A35EF" w:rsidP="007A35EF">
      <w:pPr>
        <w:autoSpaceDE w:val="0"/>
        <w:autoSpaceDN w:val="0"/>
        <w:adjustRightInd w:val="0"/>
        <w:spacing w:after="0" w:line="240" w:lineRule="auto"/>
        <w:jc w:val="both"/>
        <w:rPr>
          <w:rFonts w:cs="Arial"/>
          <w:bCs/>
          <w:i/>
          <w:iCs/>
        </w:rPr>
      </w:pPr>
      <w:r w:rsidRPr="00415C7E">
        <w:rPr>
          <w:rFonts w:cs="Arial"/>
          <w:bCs/>
          <w:i/>
          <w:iCs/>
        </w:rPr>
        <w:t>1. Describe the significance of the asset and its setting, using appropriate expertise</w:t>
      </w:r>
    </w:p>
    <w:p w14:paraId="2DA16F5F" w14:textId="77777777" w:rsidR="007A35EF" w:rsidRPr="00415C7E" w:rsidRDefault="007A35EF" w:rsidP="007A35EF">
      <w:pPr>
        <w:autoSpaceDE w:val="0"/>
        <w:autoSpaceDN w:val="0"/>
        <w:adjustRightInd w:val="0"/>
        <w:spacing w:after="0" w:line="240" w:lineRule="auto"/>
        <w:jc w:val="both"/>
        <w:rPr>
          <w:rFonts w:cs="Arial"/>
          <w:bCs/>
          <w:i/>
          <w:iCs/>
        </w:rPr>
      </w:pPr>
      <w:r w:rsidRPr="00415C7E">
        <w:rPr>
          <w:rFonts w:cs="Arial"/>
          <w:bCs/>
          <w:i/>
          <w:iCs/>
        </w:rPr>
        <w:t>and where necessary original survey, at a level of detail proportionate to its</w:t>
      </w:r>
    </w:p>
    <w:p w14:paraId="253A59C5" w14:textId="77777777" w:rsidR="007A35EF" w:rsidRPr="00415C7E" w:rsidRDefault="007A35EF" w:rsidP="007A35EF">
      <w:pPr>
        <w:autoSpaceDE w:val="0"/>
        <w:autoSpaceDN w:val="0"/>
        <w:adjustRightInd w:val="0"/>
        <w:spacing w:after="0" w:line="240" w:lineRule="auto"/>
        <w:jc w:val="both"/>
        <w:rPr>
          <w:rFonts w:cs="Arial"/>
          <w:bCs/>
          <w:i/>
          <w:iCs/>
        </w:rPr>
      </w:pPr>
      <w:r w:rsidRPr="00415C7E">
        <w:rPr>
          <w:rFonts w:cs="Arial"/>
          <w:bCs/>
          <w:i/>
          <w:iCs/>
        </w:rPr>
        <w:t>significance and sufficient to understand the potential impact of the proposal.</w:t>
      </w:r>
    </w:p>
    <w:p w14:paraId="4A928E44" w14:textId="77777777" w:rsidR="007A35EF" w:rsidRPr="00415C7E" w:rsidRDefault="007A35EF" w:rsidP="007A35EF">
      <w:pPr>
        <w:autoSpaceDE w:val="0"/>
        <w:autoSpaceDN w:val="0"/>
        <w:adjustRightInd w:val="0"/>
        <w:spacing w:after="0" w:line="240" w:lineRule="auto"/>
        <w:jc w:val="both"/>
        <w:rPr>
          <w:rFonts w:cs="Arial"/>
          <w:bCs/>
          <w:i/>
          <w:iCs/>
        </w:rPr>
      </w:pPr>
    </w:p>
    <w:p w14:paraId="7368AD47" w14:textId="77777777" w:rsidR="007A35EF" w:rsidRPr="00415C7E" w:rsidRDefault="007A35EF" w:rsidP="007A35EF">
      <w:pPr>
        <w:autoSpaceDE w:val="0"/>
        <w:autoSpaceDN w:val="0"/>
        <w:adjustRightInd w:val="0"/>
        <w:spacing w:after="0" w:line="240" w:lineRule="auto"/>
        <w:jc w:val="both"/>
        <w:rPr>
          <w:rFonts w:cs="Arial"/>
          <w:bCs/>
          <w:i/>
          <w:iCs/>
        </w:rPr>
      </w:pPr>
      <w:r w:rsidRPr="00415C7E">
        <w:rPr>
          <w:rFonts w:cs="Arial"/>
          <w:bCs/>
          <w:i/>
          <w:iCs/>
        </w:rPr>
        <w:t>2. Sets out the impact of the development on the heritage assets and mitigation that is</w:t>
      </w:r>
    </w:p>
    <w:p w14:paraId="11CC7030" w14:textId="77777777" w:rsidR="007A35EF" w:rsidRPr="00415C7E" w:rsidRDefault="007A35EF" w:rsidP="007A35EF">
      <w:pPr>
        <w:autoSpaceDE w:val="0"/>
        <w:autoSpaceDN w:val="0"/>
        <w:adjustRightInd w:val="0"/>
        <w:spacing w:after="0" w:line="240" w:lineRule="auto"/>
        <w:jc w:val="both"/>
        <w:rPr>
          <w:rFonts w:cs="Arial"/>
          <w:bCs/>
          <w:i/>
          <w:iCs/>
        </w:rPr>
      </w:pPr>
      <w:r w:rsidRPr="00415C7E">
        <w:rPr>
          <w:rFonts w:cs="Arial"/>
          <w:bCs/>
          <w:i/>
          <w:iCs/>
        </w:rPr>
        <w:t>proportionate to the impact and the significance of the heritage asset, including</w:t>
      </w:r>
    </w:p>
    <w:p w14:paraId="470AC3DB" w14:textId="7E377FD5" w:rsidR="009D3585" w:rsidRPr="00415C7E" w:rsidRDefault="007A35EF" w:rsidP="007A35EF">
      <w:pPr>
        <w:jc w:val="both"/>
        <w:rPr>
          <w:i/>
          <w:iCs/>
        </w:rPr>
      </w:pPr>
      <w:r w:rsidRPr="00415C7E">
        <w:rPr>
          <w:rFonts w:cs="Arial"/>
          <w:bCs/>
          <w:i/>
          <w:iCs/>
        </w:rPr>
        <w:t>where possible positive opportunities to conserve and enjoy heritage assets</w:t>
      </w:r>
      <w:r w:rsidR="00415C7E">
        <w:rPr>
          <w:rFonts w:cs="Arial"/>
          <w:bCs/>
          <w:i/>
          <w:iCs/>
        </w:rPr>
        <w:t>’</w:t>
      </w:r>
      <w:r w:rsidRPr="00415C7E">
        <w:rPr>
          <w:rFonts w:cs="Arial"/>
          <w:bCs/>
          <w:i/>
          <w:iCs/>
        </w:rPr>
        <w:t>.</w:t>
      </w:r>
    </w:p>
    <w:p w14:paraId="1A6ACD81" w14:textId="158D53AF" w:rsidR="00F86F4B" w:rsidRDefault="00F86F4B" w:rsidP="00F86F4B">
      <w:pPr>
        <w:pStyle w:val="Default"/>
        <w:jc w:val="both"/>
        <w:rPr>
          <w:rFonts w:asciiTheme="minorHAnsi" w:hAnsiTheme="minorHAnsi" w:cstheme="minorHAnsi"/>
          <w:b/>
          <w:bCs/>
          <w:sz w:val="22"/>
          <w:szCs w:val="22"/>
          <w:u w:val="single"/>
        </w:rPr>
      </w:pPr>
      <w:r w:rsidRPr="006A7AB9">
        <w:rPr>
          <w:rFonts w:asciiTheme="minorHAnsi" w:hAnsiTheme="minorHAnsi" w:cstheme="minorHAnsi"/>
          <w:b/>
          <w:bCs/>
          <w:sz w:val="22"/>
          <w:szCs w:val="22"/>
          <w:u w:val="single"/>
        </w:rPr>
        <w:t xml:space="preserve">Assessment </w:t>
      </w:r>
    </w:p>
    <w:p w14:paraId="247EF038" w14:textId="772BCA42" w:rsidR="00E0200E" w:rsidRDefault="00E0200E" w:rsidP="00415C7E">
      <w:pPr>
        <w:pStyle w:val="Default"/>
        <w:jc w:val="both"/>
        <w:rPr>
          <w:rFonts w:asciiTheme="minorHAnsi" w:hAnsiTheme="minorHAnsi" w:cstheme="minorHAnsi"/>
          <w:sz w:val="22"/>
          <w:szCs w:val="22"/>
        </w:rPr>
      </w:pPr>
    </w:p>
    <w:p w14:paraId="75E01008" w14:textId="77777777" w:rsidR="00B13701" w:rsidRDefault="00E13584" w:rsidP="00E0200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cstheme="minorHAnsi"/>
        </w:rPr>
      </w:pPr>
      <w:r>
        <w:rPr>
          <w:rFonts w:cstheme="minorHAnsi"/>
        </w:rPr>
        <w:t xml:space="preserve">The windows proposed for replacement are </w:t>
      </w:r>
      <w:r w:rsidR="003B5AF0">
        <w:rPr>
          <w:rFonts w:cstheme="minorHAnsi"/>
        </w:rPr>
        <w:t xml:space="preserve">located within the historic core of the building at ground floor level. </w:t>
      </w:r>
      <w:r w:rsidR="00E30C1F">
        <w:rPr>
          <w:rFonts w:cstheme="minorHAnsi"/>
        </w:rPr>
        <w:t>An internal site visit caried out in December 2023 revealed that the windows are beyond reasonable economic repair and currently in very poor condition.</w:t>
      </w:r>
      <w:r w:rsidR="00B13701">
        <w:rPr>
          <w:rFonts w:cstheme="minorHAnsi"/>
        </w:rPr>
        <w:t xml:space="preserve"> As a result, the rooms in which these windows are located, are not usable as the building is used for community use.</w:t>
      </w:r>
      <w:r w:rsidR="00E30C1F">
        <w:rPr>
          <w:rFonts w:cstheme="minorHAnsi"/>
        </w:rPr>
        <w:t xml:space="preserve"> </w:t>
      </w:r>
    </w:p>
    <w:p w14:paraId="730C8067" w14:textId="77777777" w:rsidR="00B13701" w:rsidRDefault="00B13701" w:rsidP="00E0200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cstheme="minorHAnsi"/>
        </w:rPr>
      </w:pPr>
    </w:p>
    <w:p w14:paraId="207FE926" w14:textId="2FD3FFE3" w:rsidR="00E0200E" w:rsidRDefault="00E30C1F" w:rsidP="00E0200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cstheme="minorHAnsi"/>
        </w:rPr>
      </w:pPr>
      <w:r>
        <w:rPr>
          <w:rFonts w:cstheme="minorHAnsi"/>
        </w:rPr>
        <w:t xml:space="preserve">The existing windows are timber framed with single glazing. However, whilst they are historic in character, they appear to have been altered in the past including modern frames (very simple with no </w:t>
      </w:r>
      <w:r w:rsidR="00B13701">
        <w:rPr>
          <w:rFonts w:cstheme="minorHAnsi"/>
        </w:rPr>
        <w:t xml:space="preserve">internal </w:t>
      </w:r>
      <w:r>
        <w:rPr>
          <w:rFonts w:cstheme="minorHAnsi"/>
        </w:rPr>
        <w:t>architraves</w:t>
      </w:r>
      <w:r w:rsidR="00B13701">
        <w:rPr>
          <w:rFonts w:cstheme="minorHAnsi"/>
        </w:rPr>
        <w:t>)</w:t>
      </w:r>
      <w:r>
        <w:rPr>
          <w:rFonts w:cstheme="minorHAnsi"/>
        </w:rPr>
        <w:t xml:space="preserve"> and some glazing ha</w:t>
      </w:r>
      <w:r w:rsidR="00B13701">
        <w:rPr>
          <w:rFonts w:cstheme="minorHAnsi"/>
        </w:rPr>
        <w:t>s</w:t>
      </w:r>
      <w:r>
        <w:rPr>
          <w:rFonts w:cstheme="minorHAnsi"/>
        </w:rPr>
        <w:t xml:space="preserve"> </w:t>
      </w:r>
      <w:r w:rsidR="00B13701">
        <w:rPr>
          <w:rFonts w:cstheme="minorHAnsi"/>
        </w:rPr>
        <w:t>been</w:t>
      </w:r>
      <w:r>
        <w:rPr>
          <w:rFonts w:cstheme="minorHAnsi"/>
        </w:rPr>
        <w:t xml:space="preserve"> replaced with single panes of Perspex, rather than glass. </w:t>
      </w:r>
    </w:p>
    <w:p w14:paraId="5C085C31" w14:textId="77777777" w:rsidR="00B13701" w:rsidRDefault="00B13701" w:rsidP="00E0200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cstheme="minorHAnsi"/>
        </w:rPr>
      </w:pPr>
    </w:p>
    <w:p w14:paraId="03C7680C" w14:textId="0DE1FF54" w:rsidR="00B13701" w:rsidRDefault="00B13701" w:rsidP="00E0200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cstheme="minorHAnsi"/>
        </w:rPr>
      </w:pPr>
      <w:r>
        <w:rPr>
          <w:rFonts w:cstheme="minorHAnsi"/>
        </w:rPr>
        <w:lastRenderedPageBreak/>
        <w:t>The proposal is to replace like for like with timber frames in the same sash style as the existing.</w:t>
      </w:r>
      <w:r w:rsidR="00AF6346">
        <w:rPr>
          <w:rFonts w:cstheme="minorHAnsi"/>
        </w:rPr>
        <w:t xml:space="preserve">, finished with a white gloss paint. </w:t>
      </w:r>
      <w:r>
        <w:rPr>
          <w:rFonts w:cstheme="minorHAnsi"/>
        </w:rPr>
        <w:t>The only alteration would be the use of double glazing instead of single glazing. However, a slimline style of double glazing is being proposed</w:t>
      </w:r>
      <w:r w:rsidR="00C6102B">
        <w:rPr>
          <w:rFonts w:cstheme="minorHAnsi"/>
        </w:rPr>
        <w:t>,</w:t>
      </w:r>
      <w:r>
        <w:rPr>
          <w:rFonts w:cstheme="minorHAnsi"/>
        </w:rPr>
        <w:t xml:space="preserve"> with a profile of 4-6-4mm, which almost replicates </w:t>
      </w:r>
      <w:r w:rsidR="00C6102B">
        <w:rPr>
          <w:rFonts w:cstheme="minorHAnsi"/>
        </w:rPr>
        <w:t xml:space="preserve">the appearance of </w:t>
      </w:r>
      <w:r>
        <w:rPr>
          <w:rFonts w:cstheme="minorHAnsi"/>
        </w:rPr>
        <w:t xml:space="preserve">single glazing. Furthermore, these windows </w:t>
      </w:r>
      <w:r w:rsidR="00C6102B">
        <w:rPr>
          <w:rFonts w:cstheme="minorHAnsi"/>
        </w:rPr>
        <w:t xml:space="preserve">would not </w:t>
      </w:r>
      <w:r>
        <w:rPr>
          <w:rFonts w:cstheme="minorHAnsi"/>
        </w:rPr>
        <w:t>feature any glazing bars, which would make the slim</w:t>
      </w:r>
      <w:r w:rsidR="00C6102B">
        <w:rPr>
          <w:rFonts w:cstheme="minorHAnsi"/>
        </w:rPr>
        <w:t>l</w:t>
      </w:r>
      <w:r>
        <w:rPr>
          <w:rFonts w:cstheme="minorHAnsi"/>
        </w:rPr>
        <w:t xml:space="preserve">ine double glazing even less </w:t>
      </w:r>
      <w:r w:rsidR="00283C6D">
        <w:rPr>
          <w:rFonts w:cstheme="minorHAnsi"/>
        </w:rPr>
        <w:t xml:space="preserve">apparent. </w:t>
      </w:r>
      <w:r>
        <w:rPr>
          <w:rFonts w:cstheme="minorHAnsi"/>
        </w:rPr>
        <w:t xml:space="preserve"> </w:t>
      </w:r>
      <w:r w:rsidR="008B3761">
        <w:rPr>
          <w:rFonts w:cstheme="minorHAnsi"/>
        </w:rPr>
        <w:t xml:space="preserve">Further plans were </w:t>
      </w:r>
      <w:r w:rsidR="00AF6346">
        <w:rPr>
          <w:rFonts w:cstheme="minorHAnsi"/>
        </w:rPr>
        <w:t>submitted during</w:t>
      </w:r>
      <w:r w:rsidR="008B3761">
        <w:rPr>
          <w:rFonts w:cstheme="minorHAnsi"/>
        </w:rPr>
        <w:t xml:space="preserve"> the course of the application so that all the relevant details for the replacement windows are now included. </w:t>
      </w:r>
    </w:p>
    <w:p w14:paraId="0E7B0A16" w14:textId="4CBF200F" w:rsidR="00AF6346" w:rsidRDefault="00AF6346" w:rsidP="00E0200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cstheme="minorHAnsi"/>
        </w:rPr>
      </w:pPr>
    </w:p>
    <w:p w14:paraId="6CD15CD5" w14:textId="20A43687" w:rsidR="00AF6346" w:rsidRPr="00AF6346" w:rsidRDefault="00AF6346" w:rsidP="00E0200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cstheme="minorHAnsi"/>
          <w:b/>
          <w:bCs/>
          <w:u w:val="single"/>
        </w:rPr>
      </w:pPr>
      <w:r w:rsidRPr="00AF6346">
        <w:rPr>
          <w:rFonts w:cstheme="minorHAnsi"/>
          <w:b/>
          <w:bCs/>
          <w:u w:val="single"/>
        </w:rPr>
        <w:t>Conclusion</w:t>
      </w:r>
    </w:p>
    <w:p w14:paraId="3022E135" w14:textId="77777777" w:rsidR="00E30C1F" w:rsidRDefault="00E30C1F" w:rsidP="00E30C1F">
      <w:pPr>
        <w:pStyle w:val="Normal0"/>
        <w:jc w:val="both"/>
        <w:rPr>
          <w:color w:val="000000"/>
          <w:sz w:val="22"/>
          <w:szCs w:val="22"/>
        </w:rPr>
      </w:pPr>
    </w:p>
    <w:p w14:paraId="517CFB26" w14:textId="14C4FAC4" w:rsidR="00E30C1F" w:rsidRDefault="00C6102B" w:rsidP="00E0200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cstheme="minorHAnsi"/>
        </w:rPr>
      </w:pPr>
      <w:r>
        <w:rPr>
          <w:rFonts w:cstheme="minorHAnsi"/>
        </w:rPr>
        <w:t xml:space="preserve">The </w:t>
      </w:r>
      <w:r w:rsidR="00283C6D">
        <w:rPr>
          <w:rFonts w:cstheme="minorHAnsi"/>
        </w:rPr>
        <w:t>use of s</w:t>
      </w:r>
      <w:r>
        <w:rPr>
          <w:rFonts w:cstheme="minorHAnsi"/>
        </w:rPr>
        <w:t>limline glazing within the replacement windows, would result in small degree of harm, that being less than substantial harm</w:t>
      </w:r>
      <w:r w:rsidR="000034AA">
        <w:rPr>
          <w:rFonts w:cstheme="minorHAnsi"/>
        </w:rPr>
        <w:t>,</w:t>
      </w:r>
      <w:r>
        <w:rPr>
          <w:rFonts w:cstheme="minorHAnsi"/>
        </w:rPr>
        <w:t xml:space="preserve"> at the lower end of the scale. However, the benefits of this </w:t>
      </w:r>
      <w:r w:rsidR="000034AA">
        <w:rPr>
          <w:rFonts w:cstheme="minorHAnsi"/>
        </w:rPr>
        <w:t xml:space="preserve">proposal </w:t>
      </w:r>
      <w:r>
        <w:rPr>
          <w:rFonts w:cstheme="minorHAnsi"/>
        </w:rPr>
        <w:t xml:space="preserve">would be the ability to re-use two of the ground floor rooms for the community </w:t>
      </w:r>
      <w:r w:rsidR="000034AA">
        <w:rPr>
          <w:rFonts w:cstheme="minorHAnsi"/>
        </w:rPr>
        <w:t xml:space="preserve">use </w:t>
      </w:r>
      <w:r>
        <w:rPr>
          <w:rFonts w:cstheme="minorHAnsi"/>
        </w:rPr>
        <w:t>building</w:t>
      </w:r>
      <w:r w:rsidR="000034AA">
        <w:rPr>
          <w:rFonts w:cstheme="minorHAnsi"/>
        </w:rPr>
        <w:t xml:space="preserve">. </w:t>
      </w:r>
      <w:r w:rsidR="00283C6D">
        <w:rPr>
          <w:rFonts w:cstheme="minorHAnsi"/>
        </w:rPr>
        <w:t xml:space="preserve">It is considered that this benefit outweighs the small degree of harm, for which there is clear and convincing evidence in the form of the </w:t>
      </w:r>
      <w:r w:rsidR="000034AA">
        <w:rPr>
          <w:rFonts w:cstheme="minorHAnsi"/>
        </w:rPr>
        <w:t xml:space="preserve">need to repair the </w:t>
      </w:r>
      <w:r w:rsidR="00283C6D">
        <w:rPr>
          <w:rFonts w:cstheme="minorHAnsi"/>
        </w:rPr>
        <w:t xml:space="preserve">existing windows. </w:t>
      </w:r>
    </w:p>
    <w:p w14:paraId="64A7B69D" w14:textId="5E38F781" w:rsidR="00283C6D" w:rsidRDefault="00283C6D" w:rsidP="00E0200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cstheme="minorHAnsi"/>
        </w:rPr>
      </w:pPr>
    </w:p>
    <w:p w14:paraId="12E34079" w14:textId="1A9B3506" w:rsidR="00283C6D" w:rsidRDefault="00283C6D" w:rsidP="00E0200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cstheme="minorHAnsi"/>
        </w:rPr>
      </w:pPr>
      <w:r>
        <w:rPr>
          <w:rFonts w:cstheme="minorHAnsi"/>
        </w:rPr>
        <w:t>With regards to the impact of the proposal on the St Faiths Conservation Area, it is considered that the proposal would not result in harm to the significance of the conservation area</w:t>
      </w:r>
      <w:r w:rsidR="008B3761">
        <w:rPr>
          <w:rFonts w:cstheme="minorHAnsi"/>
        </w:rPr>
        <w:t xml:space="preserve">, as the overall visual contribution made by the building would be improved. The proposal would therefore meet the test set out in Section 72 of the Planning (Listed Buildings and Conservation Areas) 1990 and the relevant national and local planning policies. </w:t>
      </w:r>
    </w:p>
    <w:p w14:paraId="02901639" w14:textId="77777777" w:rsidR="00E13584" w:rsidRPr="00E0200E" w:rsidRDefault="00E13584" w:rsidP="00E0200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cstheme="minorHAnsi"/>
        </w:rPr>
      </w:pPr>
    </w:p>
    <w:p w14:paraId="1AAAB8D0" w14:textId="7E4F20CB" w:rsidR="003253EF" w:rsidRPr="00AF6346" w:rsidRDefault="009E051A" w:rsidP="00F86F4B">
      <w:pPr>
        <w:pStyle w:val="Default"/>
        <w:jc w:val="both"/>
        <w:rPr>
          <w:rFonts w:asciiTheme="minorHAnsi" w:hAnsiTheme="minorHAnsi" w:cstheme="minorHAnsi"/>
          <w:b/>
          <w:sz w:val="22"/>
          <w:szCs w:val="22"/>
        </w:rPr>
      </w:pPr>
      <w:r w:rsidRPr="00AF6346">
        <w:rPr>
          <w:rFonts w:asciiTheme="minorHAnsi" w:hAnsiTheme="minorHAnsi" w:cstheme="minorHAnsi"/>
          <w:b/>
          <w:sz w:val="22"/>
          <w:szCs w:val="22"/>
        </w:rPr>
        <w:t xml:space="preserve">NO OBJECTION </w:t>
      </w:r>
    </w:p>
    <w:p w14:paraId="71D3BD89" w14:textId="77777777" w:rsidR="009E051A" w:rsidRDefault="009E051A" w:rsidP="00F86F4B">
      <w:pPr>
        <w:pStyle w:val="Default"/>
        <w:jc w:val="both"/>
        <w:rPr>
          <w:rFonts w:asciiTheme="minorHAnsi" w:hAnsiTheme="minorHAnsi" w:cstheme="minorHAnsi"/>
          <w:bCs/>
          <w:sz w:val="22"/>
          <w:szCs w:val="22"/>
        </w:rPr>
      </w:pPr>
    </w:p>
    <w:p w14:paraId="13DF8712" w14:textId="77777777" w:rsidR="009E051A" w:rsidRPr="009E051A" w:rsidRDefault="009E051A" w:rsidP="009E051A">
      <w:pPr>
        <w:pStyle w:val="Default"/>
        <w:jc w:val="both"/>
        <w:rPr>
          <w:rFonts w:asciiTheme="minorHAnsi" w:hAnsiTheme="minorHAnsi" w:cstheme="minorHAnsi"/>
          <w:bCs/>
          <w:sz w:val="22"/>
          <w:szCs w:val="22"/>
        </w:rPr>
      </w:pPr>
    </w:p>
    <w:p w14:paraId="266BAE5C" w14:textId="77777777" w:rsidR="009E051A" w:rsidRDefault="009E051A" w:rsidP="00F86F4B">
      <w:pPr>
        <w:pStyle w:val="Default"/>
        <w:jc w:val="both"/>
        <w:rPr>
          <w:rFonts w:asciiTheme="minorHAnsi" w:hAnsiTheme="minorHAnsi" w:cstheme="minorHAnsi"/>
          <w:b/>
          <w:sz w:val="22"/>
          <w:szCs w:val="22"/>
          <w:u w:val="single"/>
        </w:rPr>
      </w:pPr>
    </w:p>
    <w:p w14:paraId="5E68D107" w14:textId="77777777" w:rsidR="009E051A" w:rsidRDefault="009E051A" w:rsidP="00F86F4B">
      <w:pPr>
        <w:pStyle w:val="Default"/>
        <w:jc w:val="both"/>
        <w:rPr>
          <w:rFonts w:asciiTheme="minorHAnsi" w:hAnsiTheme="minorHAnsi" w:cstheme="minorHAnsi"/>
          <w:b/>
          <w:sz w:val="22"/>
          <w:szCs w:val="22"/>
          <w:u w:val="single"/>
        </w:rPr>
      </w:pPr>
    </w:p>
    <w:p w14:paraId="7DB7A5D9" w14:textId="096275D0" w:rsidR="00D626C3" w:rsidRDefault="00D626C3" w:rsidP="00F86F4B">
      <w:pPr>
        <w:pStyle w:val="Default"/>
        <w:jc w:val="both"/>
        <w:rPr>
          <w:rFonts w:asciiTheme="minorHAnsi" w:hAnsiTheme="minorHAnsi" w:cstheme="minorHAnsi"/>
          <w:b/>
          <w:sz w:val="22"/>
          <w:szCs w:val="22"/>
          <w:u w:val="single"/>
        </w:rPr>
      </w:pPr>
    </w:p>
    <w:p w14:paraId="0916F8AB" w14:textId="77777777" w:rsidR="003F10F2" w:rsidRPr="00D626C3" w:rsidRDefault="003F10F2" w:rsidP="003F10F2">
      <w:pPr>
        <w:pStyle w:val="Default"/>
        <w:ind w:left="720"/>
        <w:jc w:val="both"/>
        <w:rPr>
          <w:rFonts w:cstheme="minorHAnsi"/>
          <w:sz w:val="22"/>
          <w:szCs w:val="22"/>
        </w:rPr>
      </w:pPr>
    </w:p>
    <w:p w14:paraId="5079CBBC" w14:textId="77777777" w:rsidR="00F86F4B" w:rsidRPr="00D4474D" w:rsidRDefault="00F86F4B" w:rsidP="00F86F4B">
      <w:pPr>
        <w:pStyle w:val="Default"/>
        <w:jc w:val="both"/>
        <w:rPr>
          <w:rFonts w:asciiTheme="minorHAnsi" w:hAnsiTheme="minorHAnsi" w:cstheme="minorHAnsi"/>
          <w:b/>
          <w:sz w:val="22"/>
          <w:szCs w:val="22"/>
          <w:u w:val="single"/>
        </w:rPr>
      </w:pPr>
    </w:p>
    <w:p w14:paraId="52183746" w14:textId="77777777" w:rsidR="00F86F4B" w:rsidRPr="0079447F" w:rsidRDefault="00F86F4B" w:rsidP="00F86F4B">
      <w:pPr>
        <w:pStyle w:val="ListParagraph"/>
        <w:rPr>
          <w:rFonts w:cstheme="minorHAnsi"/>
        </w:rPr>
      </w:pPr>
    </w:p>
    <w:p w14:paraId="060D5977" w14:textId="77777777" w:rsidR="00F86F4B" w:rsidRPr="009327D6" w:rsidRDefault="00F86F4B" w:rsidP="00F86F4B">
      <w:pPr>
        <w:rPr>
          <w:rFonts w:cstheme="minorHAnsi"/>
        </w:rPr>
      </w:pPr>
    </w:p>
    <w:p w14:paraId="02AEF3E2" w14:textId="77777777" w:rsidR="00673AA1" w:rsidRPr="009327D6" w:rsidRDefault="00673AA1">
      <w:pPr>
        <w:rPr>
          <w:rFonts w:cstheme="minorHAnsi"/>
        </w:rPr>
      </w:pPr>
    </w:p>
    <w:sectPr w:rsidR="00673AA1" w:rsidRPr="009327D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ource Sans Pro">
    <w:charset w:val="00"/>
    <w:family w:val="swiss"/>
    <w:pitch w:val="variable"/>
    <w:sig w:usb0="600002F7" w:usb1="02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ArialMT">
    <w:altName w:val="MS Mincho"/>
    <w:panose1 w:val="00000000000000000000"/>
    <w:charset w:val="80"/>
    <w:family w:val="auto"/>
    <w:notTrueType/>
    <w:pitch w:val="default"/>
    <w:sig w:usb0="00000001" w:usb1="08070000" w:usb2="00000010" w:usb3="00000000" w:csb0="0002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F96C1B"/>
    <w:multiLevelType w:val="hybridMultilevel"/>
    <w:tmpl w:val="2B3626A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62C049A"/>
    <w:multiLevelType w:val="hybridMultilevel"/>
    <w:tmpl w:val="5D1A39CC"/>
    <w:lvl w:ilvl="0" w:tplc="9B3E1A40">
      <w:start w:val="1"/>
      <w:numFmt w:val="lowerLetter"/>
      <w:lvlText w:val="%1)"/>
      <w:lvlJc w:val="left"/>
      <w:pPr>
        <w:ind w:left="1080" w:hanging="360"/>
      </w:pPr>
    </w:lvl>
    <w:lvl w:ilvl="1" w:tplc="08090019">
      <w:start w:val="1"/>
      <w:numFmt w:val="lowerLetter"/>
      <w:lvlText w:val="%2."/>
      <w:lvlJc w:val="left"/>
      <w:pPr>
        <w:ind w:left="1800" w:hanging="360"/>
      </w:pPr>
    </w:lvl>
    <w:lvl w:ilvl="2" w:tplc="0809001B">
      <w:start w:val="1"/>
      <w:numFmt w:val="lowerRoman"/>
      <w:lvlText w:val="%3."/>
      <w:lvlJc w:val="right"/>
      <w:pPr>
        <w:ind w:left="2520" w:hanging="180"/>
      </w:pPr>
    </w:lvl>
    <w:lvl w:ilvl="3" w:tplc="0809000F">
      <w:start w:val="1"/>
      <w:numFmt w:val="decimal"/>
      <w:lvlText w:val="%4."/>
      <w:lvlJc w:val="left"/>
      <w:pPr>
        <w:ind w:left="3240" w:hanging="360"/>
      </w:pPr>
    </w:lvl>
    <w:lvl w:ilvl="4" w:tplc="08090019">
      <w:start w:val="1"/>
      <w:numFmt w:val="lowerLetter"/>
      <w:lvlText w:val="%5."/>
      <w:lvlJc w:val="left"/>
      <w:pPr>
        <w:ind w:left="3960" w:hanging="360"/>
      </w:pPr>
    </w:lvl>
    <w:lvl w:ilvl="5" w:tplc="0809001B">
      <w:start w:val="1"/>
      <w:numFmt w:val="lowerRoman"/>
      <w:lvlText w:val="%6."/>
      <w:lvlJc w:val="right"/>
      <w:pPr>
        <w:ind w:left="4680" w:hanging="180"/>
      </w:pPr>
    </w:lvl>
    <w:lvl w:ilvl="6" w:tplc="0809000F">
      <w:start w:val="1"/>
      <w:numFmt w:val="decimal"/>
      <w:lvlText w:val="%7."/>
      <w:lvlJc w:val="left"/>
      <w:pPr>
        <w:ind w:left="5400" w:hanging="360"/>
      </w:pPr>
    </w:lvl>
    <w:lvl w:ilvl="7" w:tplc="08090019">
      <w:start w:val="1"/>
      <w:numFmt w:val="lowerLetter"/>
      <w:lvlText w:val="%8."/>
      <w:lvlJc w:val="left"/>
      <w:pPr>
        <w:ind w:left="6120" w:hanging="360"/>
      </w:pPr>
    </w:lvl>
    <w:lvl w:ilvl="8" w:tplc="0809001B">
      <w:start w:val="1"/>
      <w:numFmt w:val="lowerRoman"/>
      <w:lvlText w:val="%9."/>
      <w:lvlJc w:val="right"/>
      <w:pPr>
        <w:ind w:left="6840" w:hanging="180"/>
      </w:pPr>
    </w:lvl>
  </w:abstractNum>
  <w:abstractNum w:abstractNumId="2" w15:restartNumberingAfterBreak="0">
    <w:nsid w:val="06A6425D"/>
    <w:multiLevelType w:val="hybridMultilevel"/>
    <w:tmpl w:val="D0608EF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495554D"/>
    <w:multiLevelType w:val="hybridMultilevel"/>
    <w:tmpl w:val="959CF81A"/>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4" w15:restartNumberingAfterBreak="0">
    <w:nsid w:val="19894D05"/>
    <w:multiLevelType w:val="hybridMultilevel"/>
    <w:tmpl w:val="743C859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A444971"/>
    <w:multiLevelType w:val="hybridMultilevel"/>
    <w:tmpl w:val="FCEA327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E294E1F"/>
    <w:multiLevelType w:val="hybridMultilevel"/>
    <w:tmpl w:val="562664C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E4B5E5F"/>
    <w:multiLevelType w:val="hybridMultilevel"/>
    <w:tmpl w:val="3648D928"/>
    <w:lvl w:ilvl="0" w:tplc="D708E12E">
      <w:start w:val="11"/>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F4A17EF"/>
    <w:multiLevelType w:val="hybridMultilevel"/>
    <w:tmpl w:val="07B8654E"/>
    <w:lvl w:ilvl="0" w:tplc="A18E305E">
      <w:numFmt w:val="bullet"/>
      <w:lvlText w:val="-"/>
      <w:lvlJc w:val="left"/>
      <w:pPr>
        <w:ind w:left="720" w:hanging="360"/>
      </w:pPr>
      <w:rPr>
        <w:rFonts w:ascii="Source Sans Pro" w:eastAsiaTheme="minorHAnsi" w:hAnsi="Source Sans Pro"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A761DA8"/>
    <w:multiLevelType w:val="hybridMultilevel"/>
    <w:tmpl w:val="91DC10F6"/>
    <w:lvl w:ilvl="0" w:tplc="7B422A64">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5A378E0"/>
    <w:multiLevelType w:val="hybridMultilevel"/>
    <w:tmpl w:val="B5AE64A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BBD614D"/>
    <w:multiLevelType w:val="hybridMultilevel"/>
    <w:tmpl w:val="0DFAA3F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4D6573BC"/>
    <w:multiLevelType w:val="hybridMultilevel"/>
    <w:tmpl w:val="9B5214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D864E02"/>
    <w:multiLevelType w:val="hybridMultilevel"/>
    <w:tmpl w:val="59D220A0"/>
    <w:lvl w:ilvl="0" w:tplc="FDC63BFA">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4" w15:restartNumberingAfterBreak="0">
    <w:nsid w:val="4FC570E4"/>
    <w:multiLevelType w:val="hybridMultilevel"/>
    <w:tmpl w:val="5ABA01CC"/>
    <w:lvl w:ilvl="0" w:tplc="7B422A64">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6204197"/>
    <w:multiLevelType w:val="hybridMultilevel"/>
    <w:tmpl w:val="E5F21284"/>
    <w:lvl w:ilvl="0" w:tplc="E09654C8">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7175FB1"/>
    <w:multiLevelType w:val="hybridMultilevel"/>
    <w:tmpl w:val="177C535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598501FC"/>
    <w:multiLevelType w:val="hybridMultilevel"/>
    <w:tmpl w:val="9656E6F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5D1C4AFF"/>
    <w:multiLevelType w:val="hybridMultilevel"/>
    <w:tmpl w:val="194267BE"/>
    <w:lvl w:ilvl="0" w:tplc="CA966B7E">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7533B46"/>
    <w:multiLevelType w:val="hybridMultilevel"/>
    <w:tmpl w:val="2FAAE50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6DF23E42"/>
    <w:multiLevelType w:val="hybridMultilevel"/>
    <w:tmpl w:val="B658DAE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6E2673AD"/>
    <w:multiLevelType w:val="hybridMultilevel"/>
    <w:tmpl w:val="E4E6D9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B9E1DE6"/>
    <w:multiLevelType w:val="hybridMultilevel"/>
    <w:tmpl w:val="1360B07A"/>
    <w:lvl w:ilvl="0" w:tplc="59384D8A">
      <w:start w:val="66"/>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8141008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77578131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529491199">
    <w:abstractNumId w:val="7"/>
  </w:num>
  <w:num w:numId="4" w16cid:durableId="1163668817">
    <w:abstractNumId w:val="5"/>
  </w:num>
  <w:num w:numId="5" w16cid:durableId="535698626">
    <w:abstractNumId w:val="4"/>
  </w:num>
  <w:num w:numId="6" w16cid:durableId="74518573">
    <w:abstractNumId w:val="17"/>
  </w:num>
  <w:num w:numId="7" w16cid:durableId="374933229">
    <w:abstractNumId w:val="20"/>
  </w:num>
  <w:num w:numId="8" w16cid:durableId="907615647">
    <w:abstractNumId w:val="16"/>
  </w:num>
  <w:num w:numId="9" w16cid:durableId="1637681123">
    <w:abstractNumId w:val="2"/>
  </w:num>
  <w:num w:numId="10" w16cid:durableId="385304237">
    <w:abstractNumId w:val="22"/>
  </w:num>
  <w:num w:numId="11" w16cid:durableId="796684453">
    <w:abstractNumId w:val="1"/>
  </w:num>
  <w:num w:numId="12" w16cid:durableId="399442752">
    <w:abstractNumId w:val="12"/>
  </w:num>
  <w:num w:numId="13" w16cid:durableId="1542203648">
    <w:abstractNumId w:val="0"/>
  </w:num>
  <w:num w:numId="14" w16cid:durableId="2066365119">
    <w:abstractNumId w:val="19"/>
  </w:num>
  <w:num w:numId="15" w16cid:durableId="280889410">
    <w:abstractNumId w:val="21"/>
  </w:num>
  <w:num w:numId="16" w16cid:durableId="29301914">
    <w:abstractNumId w:val="15"/>
  </w:num>
  <w:num w:numId="17" w16cid:durableId="1805536489">
    <w:abstractNumId w:val="8"/>
  </w:num>
  <w:num w:numId="18" w16cid:durableId="1595628011">
    <w:abstractNumId w:val="18"/>
  </w:num>
  <w:num w:numId="19" w16cid:durableId="1634092905">
    <w:abstractNumId w:val="9"/>
  </w:num>
  <w:num w:numId="20" w16cid:durableId="155849880">
    <w:abstractNumId w:val="14"/>
  </w:num>
  <w:num w:numId="21" w16cid:durableId="1494375270">
    <w:abstractNumId w:val="6"/>
  </w:num>
  <w:num w:numId="22" w16cid:durableId="1476530784">
    <w:abstractNumId w:val="11"/>
  </w:num>
  <w:num w:numId="23" w16cid:durableId="1978073296">
    <w:abstractNumId w:val="10"/>
  </w:num>
  <w:num w:numId="24" w16cid:durableId="1492864061">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852456"/>
    <w:rsid w:val="000034AA"/>
    <w:rsid w:val="00031E65"/>
    <w:rsid w:val="00034C74"/>
    <w:rsid w:val="00046471"/>
    <w:rsid w:val="000522DE"/>
    <w:rsid w:val="000B4157"/>
    <w:rsid w:val="000C2245"/>
    <w:rsid w:val="000C2B35"/>
    <w:rsid w:val="000D155D"/>
    <w:rsid w:val="000D6036"/>
    <w:rsid w:val="00123301"/>
    <w:rsid w:val="00187FF9"/>
    <w:rsid w:val="00197FEE"/>
    <w:rsid w:val="001C3AF7"/>
    <w:rsid w:val="001C4D79"/>
    <w:rsid w:val="001C75DA"/>
    <w:rsid w:val="001F385A"/>
    <w:rsid w:val="002121C1"/>
    <w:rsid w:val="00272D95"/>
    <w:rsid w:val="00272FC3"/>
    <w:rsid w:val="00280006"/>
    <w:rsid w:val="00283C6D"/>
    <w:rsid w:val="002A3AA0"/>
    <w:rsid w:val="002A79BA"/>
    <w:rsid w:val="002B284B"/>
    <w:rsid w:val="002B3D0D"/>
    <w:rsid w:val="002D0D6B"/>
    <w:rsid w:val="002D1C4A"/>
    <w:rsid w:val="002D765C"/>
    <w:rsid w:val="00307608"/>
    <w:rsid w:val="0031030E"/>
    <w:rsid w:val="003253EF"/>
    <w:rsid w:val="00332A3A"/>
    <w:rsid w:val="00335BB1"/>
    <w:rsid w:val="00346F83"/>
    <w:rsid w:val="003506DF"/>
    <w:rsid w:val="00361EF7"/>
    <w:rsid w:val="00361FE7"/>
    <w:rsid w:val="00375278"/>
    <w:rsid w:val="00376316"/>
    <w:rsid w:val="00384610"/>
    <w:rsid w:val="00395DD0"/>
    <w:rsid w:val="003B5AF0"/>
    <w:rsid w:val="003F10F2"/>
    <w:rsid w:val="003F25F0"/>
    <w:rsid w:val="003F414D"/>
    <w:rsid w:val="003F76FA"/>
    <w:rsid w:val="004049AC"/>
    <w:rsid w:val="00410C73"/>
    <w:rsid w:val="00412C64"/>
    <w:rsid w:val="00415C7E"/>
    <w:rsid w:val="00440348"/>
    <w:rsid w:val="004542E1"/>
    <w:rsid w:val="00463D6A"/>
    <w:rsid w:val="004659F2"/>
    <w:rsid w:val="004A129E"/>
    <w:rsid w:val="004A7F62"/>
    <w:rsid w:val="004C6F06"/>
    <w:rsid w:val="004D1FD8"/>
    <w:rsid w:val="004D7458"/>
    <w:rsid w:val="004F6F64"/>
    <w:rsid w:val="00512EFE"/>
    <w:rsid w:val="0051464B"/>
    <w:rsid w:val="00516CA3"/>
    <w:rsid w:val="0053206B"/>
    <w:rsid w:val="0053206E"/>
    <w:rsid w:val="0056383F"/>
    <w:rsid w:val="005805AC"/>
    <w:rsid w:val="0058224A"/>
    <w:rsid w:val="00583A71"/>
    <w:rsid w:val="00584600"/>
    <w:rsid w:val="005A7B14"/>
    <w:rsid w:val="005B6CE2"/>
    <w:rsid w:val="005C1632"/>
    <w:rsid w:val="005F00C5"/>
    <w:rsid w:val="00622171"/>
    <w:rsid w:val="0062389D"/>
    <w:rsid w:val="00624647"/>
    <w:rsid w:val="0065543B"/>
    <w:rsid w:val="00662692"/>
    <w:rsid w:val="00673AA1"/>
    <w:rsid w:val="00674DEF"/>
    <w:rsid w:val="006855AA"/>
    <w:rsid w:val="0069659F"/>
    <w:rsid w:val="006A54BC"/>
    <w:rsid w:val="006A7AB9"/>
    <w:rsid w:val="006B5B64"/>
    <w:rsid w:val="006C3623"/>
    <w:rsid w:val="006D49F2"/>
    <w:rsid w:val="006E6F28"/>
    <w:rsid w:val="006F2359"/>
    <w:rsid w:val="0074299C"/>
    <w:rsid w:val="007565B2"/>
    <w:rsid w:val="00781A72"/>
    <w:rsid w:val="0079447F"/>
    <w:rsid w:val="0079518A"/>
    <w:rsid w:val="007A35EF"/>
    <w:rsid w:val="007C7B38"/>
    <w:rsid w:val="00802435"/>
    <w:rsid w:val="00806747"/>
    <w:rsid w:val="00852456"/>
    <w:rsid w:val="00862FC1"/>
    <w:rsid w:val="008726D6"/>
    <w:rsid w:val="008761AD"/>
    <w:rsid w:val="0088508B"/>
    <w:rsid w:val="00887A40"/>
    <w:rsid w:val="008B0A38"/>
    <w:rsid w:val="008B3761"/>
    <w:rsid w:val="008C256F"/>
    <w:rsid w:val="008C6A89"/>
    <w:rsid w:val="008F39EF"/>
    <w:rsid w:val="008F4C3A"/>
    <w:rsid w:val="00900C86"/>
    <w:rsid w:val="00901AF2"/>
    <w:rsid w:val="0091676B"/>
    <w:rsid w:val="00923637"/>
    <w:rsid w:val="00925579"/>
    <w:rsid w:val="00930C2D"/>
    <w:rsid w:val="009327D6"/>
    <w:rsid w:val="0095239C"/>
    <w:rsid w:val="00980463"/>
    <w:rsid w:val="00984F41"/>
    <w:rsid w:val="009A1A4A"/>
    <w:rsid w:val="009B5847"/>
    <w:rsid w:val="009B7AC0"/>
    <w:rsid w:val="009C70D4"/>
    <w:rsid w:val="009D1641"/>
    <w:rsid w:val="009D3585"/>
    <w:rsid w:val="009E051A"/>
    <w:rsid w:val="009E2F11"/>
    <w:rsid w:val="009F782C"/>
    <w:rsid w:val="00A07E34"/>
    <w:rsid w:val="00A111F1"/>
    <w:rsid w:val="00A20CAF"/>
    <w:rsid w:val="00A27442"/>
    <w:rsid w:val="00A54386"/>
    <w:rsid w:val="00A63170"/>
    <w:rsid w:val="00A71E05"/>
    <w:rsid w:val="00AB323F"/>
    <w:rsid w:val="00AC3571"/>
    <w:rsid w:val="00AD5038"/>
    <w:rsid w:val="00AE5E35"/>
    <w:rsid w:val="00AF1511"/>
    <w:rsid w:val="00AF354D"/>
    <w:rsid w:val="00AF6346"/>
    <w:rsid w:val="00B13701"/>
    <w:rsid w:val="00B16D30"/>
    <w:rsid w:val="00B32D3E"/>
    <w:rsid w:val="00B34F11"/>
    <w:rsid w:val="00B42C4C"/>
    <w:rsid w:val="00B55D75"/>
    <w:rsid w:val="00B82954"/>
    <w:rsid w:val="00B90DFC"/>
    <w:rsid w:val="00B9507E"/>
    <w:rsid w:val="00B971B9"/>
    <w:rsid w:val="00BB7AEB"/>
    <w:rsid w:val="00BE1379"/>
    <w:rsid w:val="00BE1F2E"/>
    <w:rsid w:val="00BE360F"/>
    <w:rsid w:val="00BE59F6"/>
    <w:rsid w:val="00BF149A"/>
    <w:rsid w:val="00BF67AB"/>
    <w:rsid w:val="00C02690"/>
    <w:rsid w:val="00C05141"/>
    <w:rsid w:val="00C11393"/>
    <w:rsid w:val="00C2652D"/>
    <w:rsid w:val="00C3651E"/>
    <w:rsid w:val="00C52D67"/>
    <w:rsid w:val="00C55DF8"/>
    <w:rsid w:val="00C604EC"/>
    <w:rsid w:val="00C6102B"/>
    <w:rsid w:val="00C636B7"/>
    <w:rsid w:val="00CA11A3"/>
    <w:rsid w:val="00CA344C"/>
    <w:rsid w:val="00CC7B4C"/>
    <w:rsid w:val="00CD4C97"/>
    <w:rsid w:val="00CD7F8C"/>
    <w:rsid w:val="00CE4CC6"/>
    <w:rsid w:val="00D10755"/>
    <w:rsid w:val="00D12E15"/>
    <w:rsid w:val="00D13092"/>
    <w:rsid w:val="00D36325"/>
    <w:rsid w:val="00D4474D"/>
    <w:rsid w:val="00D612BB"/>
    <w:rsid w:val="00D626C3"/>
    <w:rsid w:val="00D640E7"/>
    <w:rsid w:val="00DA19B4"/>
    <w:rsid w:val="00DA4352"/>
    <w:rsid w:val="00DA716D"/>
    <w:rsid w:val="00DB3D7F"/>
    <w:rsid w:val="00DD38FB"/>
    <w:rsid w:val="00DF5B20"/>
    <w:rsid w:val="00E0200E"/>
    <w:rsid w:val="00E10CD5"/>
    <w:rsid w:val="00E13584"/>
    <w:rsid w:val="00E236AF"/>
    <w:rsid w:val="00E307EA"/>
    <w:rsid w:val="00E30C1F"/>
    <w:rsid w:val="00E31470"/>
    <w:rsid w:val="00E31B3A"/>
    <w:rsid w:val="00E343A9"/>
    <w:rsid w:val="00E4232F"/>
    <w:rsid w:val="00E436C1"/>
    <w:rsid w:val="00E57580"/>
    <w:rsid w:val="00E604DA"/>
    <w:rsid w:val="00E662F1"/>
    <w:rsid w:val="00E8381B"/>
    <w:rsid w:val="00E87EB0"/>
    <w:rsid w:val="00EA43A9"/>
    <w:rsid w:val="00EA6368"/>
    <w:rsid w:val="00EF0C74"/>
    <w:rsid w:val="00F03AD4"/>
    <w:rsid w:val="00F11B07"/>
    <w:rsid w:val="00F14AFD"/>
    <w:rsid w:val="00F45927"/>
    <w:rsid w:val="00F543E1"/>
    <w:rsid w:val="00F55D8A"/>
    <w:rsid w:val="00F84D3D"/>
    <w:rsid w:val="00F8531B"/>
    <w:rsid w:val="00F86F4B"/>
    <w:rsid w:val="00F91CAF"/>
    <w:rsid w:val="00F91FE6"/>
    <w:rsid w:val="00FC2C5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F84A6E"/>
  <w15:docId w15:val="{A30B74F9-1C6F-4CAD-B2B5-E0A3EACD93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52456"/>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52456"/>
    <w:pPr>
      <w:ind w:left="720"/>
      <w:contextualSpacing/>
    </w:pPr>
  </w:style>
  <w:style w:type="paragraph" w:customStyle="1" w:styleId="Default">
    <w:name w:val="Default"/>
    <w:rsid w:val="00852456"/>
    <w:pPr>
      <w:autoSpaceDE w:val="0"/>
      <w:autoSpaceDN w:val="0"/>
      <w:adjustRightInd w:val="0"/>
      <w:spacing w:after="0" w:line="240" w:lineRule="auto"/>
    </w:pPr>
    <w:rPr>
      <w:rFonts w:ascii="Calibri" w:hAnsi="Calibri" w:cs="Calibri"/>
      <w:color w:val="000000"/>
      <w:sz w:val="24"/>
      <w:szCs w:val="24"/>
    </w:rPr>
  </w:style>
  <w:style w:type="paragraph" w:customStyle="1" w:styleId="Normal0">
    <w:name w:val="[Normal]"/>
    <w:uiPriority w:val="99"/>
    <w:rsid w:val="00624647"/>
    <w:pPr>
      <w:autoSpaceDE w:val="0"/>
      <w:autoSpaceDN w:val="0"/>
      <w:adjustRightInd w:val="0"/>
      <w:spacing w:after="0" w:line="240" w:lineRule="auto"/>
    </w:pPr>
    <w:rPr>
      <w:rFonts w:ascii="Arial" w:hAnsi="Arial" w:cs="Arial"/>
      <w:sz w:val="24"/>
      <w:szCs w:val="24"/>
    </w:rPr>
  </w:style>
  <w:style w:type="paragraph" w:styleId="NormalWeb">
    <w:name w:val="Normal (Web)"/>
    <w:basedOn w:val="Normal"/>
    <w:uiPriority w:val="99"/>
    <w:semiHidden/>
    <w:unhideWhenUsed/>
    <w:rsid w:val="007A35E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7A35E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3547637">
      <w:bodyDiv w:val="1"/>
      <w:marLeft w:val="0"/>
      <w:marRight w:val="0"/>
      <w:marTop w:val="0"/>
      <w:marBottom w:val="0"/>
      <w:divBdr>
        <w:top w:val="none" w:sz="0" w:space="0" w:color="auto"/>
        <w:left w:val="none" w:sz="0" w:space="0" w:color="auto"/>
        <w:bottom w:val="none" w:sz="0" w:space="0" w:color="auto"/>
        <w:right w:val="none" w:sz="0" w:space="0" w:color="auto"/>
      </w:divBdr>
    </w:div>
    <w:div w:id="213080622">
      <w:bodyDiv w:val="1"/>
      <w:marLeft w:val="0"/>
      <w:marRight w:val="0"/>
      <w:marTop w:val="0"/>
      <w:marBottom w:val="0"/>
      <w:divBdr>
        <w:top w:val="none" w:sz="0" w:space="0" w:color="auto"/>
        <w:left w:val="none" w:sz="0" w:space="0" w:color="auto"/>
        <w:bottom w:val="none" w:sz="0" w:space="0" w:color="auto"/>
        <w:right w:val="none" w:sz="0" w:space="0" w:color="auto"/>
      </w:divBdr>
    </w:div>
    <w:div w:id="979384053">
      <w:bodyDiv w:val="1"/>
      <w:marLeft w:val="0"/>
      <w:marRight w:val="0"/>
      <w:marTop w:val="0"/>
      <w:marBottom w:val="0"/>
      <w:divBdr>
        <w:top w:val="none" w:sz="0" w:space="0" w:color="auto"/>
        <w:left w:val="none" w:sz="0" w:space="0" w:color="auto"/>
        <w:bottom w:val="none" w:sz="0" w:space="0" w:color="auto"/>
        <w:right w:val="none" w:sz="0" w:space="0" w:color="auto"/>
      </w:divBdr>
    </w:div>
    <w:div w:id="134756144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16CE2B-48B9-4A9C-8DDC-06F5E09394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236</TotalTime>
  <Pages>3</Pages>
  <Words>1095</Words>
  <Characters>6243</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McMurray, Rachael</dc:creator>
  <cp:keywords/>
  <dc:description/>
  <cp:lastModifiedBy>McMurray, Rachael</cp:lastModifiedBy>
  <cp:revision>7</cp:revision>
  <cp:lastPrinted>2023-08-24T09:44:00Z</cp:lastPrinted>
  <dcterms:created xsi:type="dcterms:W3CDTF">2024-07-05T10:29:00Z</dcterms:created>
  <dcterms:modified xsi:type="dcterms:W3CDTF">2024-10-02T15:04:00Z</dcterms:modified>
</cp:coreProperties>
</file>