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4A39A3" w14:textId="7FFD1052" w:rsidR="00C6557A" w:rsidRPr="00784F33" w:rsidRDefault="00784F33" w:rsidP="00B35C8A">
      <w:pPr>
        <w:autoSpaceDE w:val="0"/>
        <w:autoSpaceDN w:val="0"/>
        <w:adjustRightInd w:val="0"/>
        <w:spacing w:after="0" w:line="240" w:lineRule="auto"/>
        <w:rPr>
          <w:rFonts w:ascii="Arial" w:eastAsia="ArialMT" w:hAnsi="Arial" w:cs="Arial"/>
          <w:b/>
          <w:bCs/>
          <w:color w:val="000000"/>
        </w:rPr>
      </w:pPr>
      <w:r w:rsidRPr="00784F33">
        <w:rPr>
          <w:rFonts w:ascii="Arial" w:eastAsia="ArialMT" w:hAnsi="Arial" w:cs="Arial"/>
          <w:b/>
          <w:bCs/>
          <w:color w:val="000000"/>
        </w:rPr>
        <w:t>APP/24/00968</w:t>
      </w:r>
      <w:r w:rsidRPr="00784F33">
        <w:rPr>
          <w:rFonts w:ascii="Arial" w:hAnsi="Arial" w:cs="Arial"/>
          <w:b/>
          <w:bCs/>
        </w:rPr>
        <w:t xml:space="preserve"> </w:t>
      </w:r>
      <w:r w:rsidRPr="00784F33">
        <w:rPr>
          <w:rFonts w:ascii="Arial" w:eastAsia="ArialMT" w:hAnsi="Arial" w:cs="Arial"/>
          <w:b/>
          <w:bCs/>
          <w:color w:val="000000"/>
        </w:rPr>
        <w:t>Beachlands, 5 Sea Front, Hayling Island</w:t>
      </w:r>
    </w:p>
    <w:p w14:paraId="4B925297" w14:textId="77777777" w:rsidR="00EC058A" w:rsidRDefault="00EC058A" w:rsidP="00B35C8A">
      <w:pPr>
        <w:autoSpaceDE w:val="0"/>
        <w:autoSpaceDN w:val="0"/>
        <w:adjustRightInd w:val="0"/>
        <w:spacing w:after="0" w:line="240" w:lineRule="auto"/>
        <w:rPr>
          <w:rFonts w:ascii="Arial" w:hAnsi="Arial" w:cs="Arial"/>
        </w:rPr>
      </w:pPr>
    </w:p>
    <w:p w14:paraId="4C91E9FE" w14:textId="7B3E4E08" w:rsidR="00EC058A" w:rsidRDefault="002832CC" w:rsidP="008C65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r w:rsidRPr="002832CC">
        <w:rPr>
          <w:rFonts w:ascii="Arial" w:hAnsi="Arial" w:cs="Arial"/>
        </w:rPr>
        <w:t>Full planning application for the development of 4 no. commercial units (E Use) and 32 no. residential units (C3 Use) over 4 floors with associated open space, public realm enhancements, demolition of the existing Beachlands Amusement Arcade Buildings and dwelling and associated works</w:t>
      </w:r>
    </w:p>
    <w:p w14:paraId="269BB247" w14:textId="77777777" w:rsidR="002832CC" w:rsidRPr="00A51637" w:rsidRDefault="002832CC" w:rsidP="008C65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p>
    <w:p w14:paraId="068097ED" w14:textId="1658C84D" w:rsidR="008C6592" w:rsidRDefault="008C6592" w:rsidP="008C6592">
      <w:pPr>
        <w:rPr>
          <w:rFonts w:ascii="Arial" w:hAnsi="Arial" w:cs="Arial"/>
          <w:b/>
        </w:rPr>
      </w:pPr>
      <w:r w:rsidRPr="00A51637">
        <w:rPr>
          <w:rFonts w:ascii="Arial" w:hAnsi="Arial" w:cs="Arial"/>
          <w:b/>
        </w:rPr>
        <w:t xml:space="preserve">Comments - HBC </w:t>
      </w:r>
      <w:r w:rsidR="008A4058">
        <w:rPr>
          <w:rFonts w:ascii="Arial" w:hAnsi="Arial" w:cs="Arial"/>
          <w:b/>
        </w:rPr>
        <w:t>Developer Contributions</w:t>
      </w:r>
    </w:p>
    <w:p w14:paraId="0E7276BF" w14:textId="77777777" w:rsidR="005B56A3" w:rsidRPr="008F39B7" w:rsidRDefault="005B56A3" w:rsidP="005B56A3">
      <w:pPr>
        <w:autoSpaceDE w:val="0"/>
        <w:autoSpaceDN w:val="0"/>
        <w:adjustRightInd w:val="0"/>
        <w:spacing w:after="0" w:line="240" w:lineRule="auto"/>
        <w:rPr>
          <w:rFonts w:ascii="Arial" w:hAnsi="Arial" w:cs="Arial"/>
          <w:b/>
          <w:u w:val="single"/>
        </w:rPr>
      </w:pPr>
      <w:r w:rsidRPr="008F39B7">
        <w:rPr>
          <w:rFonts w:ascii="Arial" w:hAnsi="Arial" w:cs="Arial"/>
          <w:b/>
          <w:u w:val="single"/>
        </w:rPr>
        <w:t>CIL</w:t>
      </w:r>
    </w:p>
    <w:p w14:paraId="5842476A" w14:textId="77777777" w:rsidR="005B56A3" w:rsidRPr="008F39B7" w:rsidRDefault="005B56A3" w:rsidP="005B56A3">
      <w:pPr>
        <w:autoSpaceDE w:val="0"/>
        <w:autoSpaceDN w:val="0"/>
        <w:adjustRightInd w:val="0"/>
        <w:spacing w:after="0" w:line="240" w:lineRule="auto"/>
        <w:rPr>
          <w:rFonts w:ascii="Arial" w:hAnsi="Arial" w:cs="Arial"/>
          <w:b/>
        </w:rPr>
      </w:pPr>
    </w:p>
    <w:p w14:paraId="6687CF67" w14:textId="4C709F03" w:rsidR="001E440A" w:rsidRDefault="003A205A" w:rsidP="001E440A">
      <w:pPr>
        <w:rPr>
          <w:rStyle w:val="Hyperlink"/>
          <w:rFonts w:ascii="Arial" w:hAnsi="Arial" w:cs="Arial"/>
          <w:color w:val="auto"/>
        </w:rPr>
      </w:pPr>
      <w:r>
        <w:rPr>
          <w:rFonts w:ascii="Arial" w:hAnsi="Arial" w:cs="Arial"/>
        </w:rPr>
        <w:t>This application is</w:t>
      </w:r>
      <w:r w:rsidR="001E440A">
        <w:rPr>
          <w:rFonts w:ascii="Arial" w:hAnsi="Arial" w:cs="Arial"/>
          <w:b/>
        </w:rPr>
        <w:t xml:space="preserve"> </w:t>
      </w:r>
      <w:r w:rsidR="001E440A">
        <w:rPr>
          <w:rFonts w:ascii="Arial" w:hAnsi="Arial" w:cs="Arial"/>
        </w:rPr>
        <w:t xml:space="preserve">CIL Liable, in accordance with our CIL Charging Schedule: </w:t>
      </w:r>
      <w:hyperlink r:id="rId7" w:history="1">
        <w:r w:rsidR="001E440A">
          <w:rPr>
            <w:rStyle w:val="Hyperlink"/>
            <w:rFonts w:ascii="Arial" w:hAnsi="Arial" w:cs="Arial"/>
            <w:color w:val="auto"/>
          </w:rPr>
          <w:t>http://www.havant.gov.uk/sites/default/files/documents/HBC%20CIL%20Charging%20Schedule%20Full%20Document%20Feb%202013.pdf</w:t>
        </w:r>
      </w:hyperlink>
    </w:p>
    <w:p w14:paraId="032C863A" w14:textId="6283ACBD" w:rsidR="001E440A" w:rsidRPr="003A205A" w:rsidRDefault="001E440A" w:rsidP="001E440A">
      <w:pPr>
        <w:spacing w:line="240" w:lineRule="auto"/>
      </w:pPr>
      <w:r w:rsidRPr="003A205A">
        <w:rPr>
          <w:rFonts w:ascii="Arial" w:hAnsi="Arial" w:cs="Arial"/>
        </w:rPr>
        <w:t>The amounts in the Charging Schedule are indexed according to the year in which permission is issued, if a permission is issued in 202</w:t>
      </w:r>
      <w:r w:rsidR="002832CC" w:rsidRPr="003A205A">
        <w:rPr>
          <w:rFonts w:ascii="Arial" w:hAnsi="Arial" w:cs="Arial"/>
        </w:rPr>
        <w:t>5</w:t>
      </w:r>
      <w:r w:rsidRPr="003A205A">
        <w:rPr>
          <w:rFonts w:ascii="Arial" w:hAnsi="Arial" w:cs="Arial"/>
        </w:rPr>
        <w:t xml:space="preserve"> the amount of indexation would be </w:t>
      </w:r>
      <w:r w:rsidR="003A205A" w:rsidRPr="003A205A">
        <w:rPr>
          <w:rFonts w:ascii="Arial" w:eastAsia="Calibri" w:hAnsi="Arial" w:cs="Arial"/>
        </w:rPr>
        <w:t>74.553%</w:t>
      </w:r>
      <w:r w:rsidRPr="003A205A">
        <w:rPr>
          <w:rFonts w:ascii="Arial" w:hAnsi="Arial" w:cs="Arial"/>
        </w:rPr>
        <w:t>.</w:t>
      </w:r>
    </w:p>
    <w:p w14:paraId="75D74A64" w14:textId="6BB5E381" w:rsidR="00B547F9" w:rsidRPr="003A205A" w:rsidRDefault="003A205A" w:rsidP="0005296D">
      <w:pPr>
        <w:rPr>
          <w:rStyle w:val="Hyperlink"/>
          <w:rFonts w:ascii="Arial" w:hAnsi="Arial" w:cs="Arial"/>
          <w:color w:val="auto"/>
        </w:rPr>
      </w:pPr>
      <w:r w:rsidRPr="003A205A">
        <w:rPr>
          <w:rStyle w:val="Hyperlink"/>
          <w:rFonts w:ascii="Arial" w:hAnsi="Arial" w:cs="Arial"/>
          <w:color w:val="auto"/>
          <w:u w:val="none"/>
        </w:rPr>
        <w:t>It would be helpful if a schedule of accommodation can be supplied detailing the GIA in sqm, to enable us to check the figures provided on CIL form 1.</w:t>
      </w:r>
      <w:r w:rsidR="0005296D" w:rsidRPr="003A205A">
        <w:rPr>
          <w:rStyle w:val="Hyperlink"/>
          <w:rFonts w:ascii="Arial" w:hAnsi="Arial" w:cs="Arial"/>
          <w:color w:val="auto"/>
          <w:u w:val="none"/>
        </w:rPr>
        <w:t xml:space="preserve"> </w:t>
      </w:r>
      <w:r w:rsidR="00577B9E">
        <w:rPr>
          <w:rStyle w:val="Hyperlink"/>
          <w:rFonts w:ascii="Arial" w:hAnsi="Arial" w:cs="Arial"/>
          <w:color w:val="auto"/>
          <w:u w:val="none"/>
        </w:rPr>
        <w:t>This should include any buildings which people usually access, such as bin stores.</w:t>
      </w:r>
    </w:p>
    <w:p w14:paraId="26944938" w14:textId="0554D454" w:rsidR="00AF57BE" w:rsidRPr="00577B9E" w:rsidRDefault="00AF57BE" w:rsidP="00FC370C">
      <w:pPr>
        <w:rPr>
          <w:rStyle w:val="Hyperlink"/>
          <w:rFonts w:ascii="Arial" w:hAnsi="Arial" w:cs="Arial"/>
          <w:b/>
          <w:color w:val="auto"/>
        </w:rPr>
      </w:pPr>
      <w:r w:rsidRPr="00577B9E">
        <w:rPr>
          <w:rStyle w:val="Hyperlink"/>
          <w:rFonts w:ascii="Arial" w:hAnsi="Arial" w:cs="Arial"/>
          <w:b/>
          <w:color w:val="auto"/>
        </w:rPr>
        <w:t>S106</w:t>
      </w:r>
    </w:p>
    <w:p w14:paraId="0DE4E2A4" w14:textId="378CB4EC" w:rsidR="005B56A3" w:rsidRPr="00577B9E" w:rsidRDefault="00EC058A" w:rsidP="003C6C6F">
      <w:pPr>
        <w:rPr>
          <w:rFonts w:ascii="Arial" w:hAnsi="Arial" w:cs="Arial"/>
          <w:b/>
        </w:rPr>
      </w:pPr>
      <w:r w:rsidRPr="00577B9E">
        <w:rPr>
          <w:rFonts w:ascii="Arial" w:hAnsi="Arial" w:cs="Arial"/>
          <w:bCs/>
        </w:rPr>
        <w:t>S</w:t>
      </w:r>
      <w:r w:rsidR="005B56A3" w:rsidRPr="00577B9E">
        <w:rPr>
          <w:rFonts w:ascii="Arial" w:hAnsi="Arial" w:cs="Arial"/>
        </w:rPr>
        <w:t>ubject to statutory consultee responses we would expect the S106 to include (amongst any other site</w:t>
      </w:r>
      <w:r w:rsidR="00A328B9" w:rsidRPr="00577B9E">
        <w:rPr>
          <w:rFonts w:ascii="Arial" w:hAnsi="Arial" w:cs="Arial"/>
        </w:rPr>
        <w:t>-</w:t>
      </w:r>
      <w:r w:rsidR="005B56A3" w:rsidRPr="00577B9E">
        <w:rPr>
          <w:rFonts w:ascii="Arial" w:hAnsi="Arial" w:cs="Arial"/>
        </w:rPr>
        <w:t>specific obligations necessary):</w:t>
      </w:r>
    </w:p>
    <w:p w14:paraId="20D76ED8" w14:textId="7E518F27" w:rsidR="005B56A3" w:rsidRPr="00647B13" w:rsidRDefault="005B56A3" w:rsidP="005B56A3">
      <w:pPr>
        <w:pStyle w:val="ListParagraph"/>
        <w:numPr>
          <w:ilvl w:val="0"/>
          <w:numId w:val="1"/>
        </w:numPr>
        <w:rPr>
          <w:rFonts w:ascii="Arial" w:hAnsi="Arial" w:cs="Arial"/>
        </w:rPr>
      </w:pPr>
      <w:r w:rsidRPr="00647B13">
        <w:rPr>
          <w:rFonts w:ascii="Arial" w:hAnsi="Arial" w:cs="Arial"/>
        </w:rPr>
        <w:t>Affordable Housing</w:t>
      </w:r>
      <w:r w:rsidR="00647B13" w:rsidRPr="00647B13">
        <w:rPr>
          <w:rFonts w:ascii="Arial" w:hAnsi="Arial" w:cs="Arial"/>
        </w:rPr>
        <w:t>, a viability assessment will be required</w:t>
      </w:r>
    </w:p>
    <w:p w14:paraId="0D7A566B" w14:textId="4CD50797" w:rsidR="00A947CB" w:rsidRPr="00647B13" w:rsidRDefault="00A947CB" w:rsidP="00A947CB">
      <w:pPr>
        <w:pStyle w:val="ListParagraph"/>
        <w:numPr>
          <w:ilvl w:val="0"/>
          <w:numId w:val="1"/>
        </w:numPr>
        <w:rPr>
          <w:rFonts w:ascii="Arial" w:hAnsi="Arial" w:cs="Arial"/>
        </w:rPr>
      </w:pPr>
      <w:r w:rsidRPr="00647B13">
        <w:rPr>
          <w:rFonts w:ascii="Arial" w:hAnsi="Arial" w:cs="Arial"/>
        </w:rPr>
        <w:t>HBC Monitoring Fees*</w:t>
      </w:r>
      <w:r w:rsidR="009E6494">
        <w:rPr>
          <w:rFonts w:ascii="Arial" w:hAnsi="Arial" w:cs="Arial"/>
        </w:rPr>
        <w:t xml:space="preserve"> (BNG monitoring to be advised separately</w:t>
      </w:r>
      <w:r w:rsidR="005760C9">
        <w:rPr>
          <w:rFonts w:ascii="Arial" w:hAnsi="Arial" w:cs="Arial"/>
        </w:rPr>
        <w:t xml:space="preserve"> if provided on site</w:t>
      </w:r>
      <w:r w:rsidR="009E6494">
        <w:rPr>
          <w:rFonts w:ascii="Arial" w:hAnsi="Arial" w:cs="Arial"/>
        </w:rPr>
        <w:t>)</w:t>
      </w:r>
    </w:p>
    <w:p w14:paraId="2952080F" w14:textId="77777777" w:rsidR="00A947CB" w:rsidRPr="00647B13" w:rsidRDefault="00A947CB" w:rsidP="00A947CB">
      <w:pPr>
        <w:pStyle w:val="ListParagraph"/>
        <w:numPr>
          <w:ilvl w:val="0"/>
          <w:numId w:val="1"/>
        </w:numPr>
        <w:rPr>
          <w:rFonts w:ascii="Arial" w:hAnsi="Arial" w:cs="Arial"/>
        </w:rPr>
      </w:pPr>
      <w:r w:rsidRPr="00647B13">
        <w:rPr>
          <w:rFonts w:ascii="Arial" w:hAnsi="Arial" w:cs="Arial"/>
        </w:rPr>
        <w:t>HCC Monitoring Fees</w:t>
      </w:r>
    </w:p>
    <w:p w14:paraId="4398B62F" w14:textId="18A2CE4F" w:rsidR="005B56A3" w:rsidRPr="00647B13" w:rsidRDefault="005B56A3" w:rsidP="00D513B9">
      <w:pPr>
        <w:pStyle w:val="ListParagraph"/>
        <w:numPr>
          <w:ilvl w:val="0"/>
          <w:numId w:val="1"/>
        </w:numPr>
        <w:rPr>
          <w:rFonts w:ascii="Arial" w:hAnsi="Arial" w:cs="Arial"/>
        </w:rPr>
      </w:pPr>
      <w:r w:rsidRPr="00647B13">
        <w:rPr>
          <w:rFonts w:ascii="Arial" w:hAnsi="Arial" w:cs="Arial"/>
        </w:rPr>
        <w:t>Management Company</w:t>
      </w:r>
      <w:r w:rsidR="008D0653" w:rsidRPr="00647B13">
        <w:rPr>
          <w:rFonts w:ascii="Arial" w:hAnsi="Arial" w:cs="Arial"/>
        </w:rPr>
        <w:t xml:space="preserve"> and </w:t>
      </w:r>
      <w:r w:rsidRPr="00647B13">
        <w:rPr>
          <w:rFonts w:ascii="Arial" w:hAnsi="Arial" w:cs="Arial"/>
        </w:rPr>
        <w:t>Management Plan</w:t>
      </w:r>
      <w:r w:rsidR="004829B0" w:rsidRPr="00647B13">
        <w:rPr>
          <w:rFonts w:ascii="Arial" w:hAnsi="Arial" w:cs="Arial"/>
        </w:rPr>
        <w:t xml:space="preserve"> (may include SUDS)</w:t>
      </w:r>
    </w:p>
    <w:p w14:paraId="5491F906" w14:textId="371BA151" w:rsidR="005B56A3" w:rsidRPr="00647B13" w:rsidRDefault="005B56A3" w:rsidP="005B56A3">
      <w:pPr>
        <w:pStyle w:val="ListParagraph"/>
        <w:numPr>
          <w:ilvl w:val="0"/>
          <w:numId w:val="1"/>
        </w:numPr>
        <w:rPr>
          <w:rFonts w:ascii="Arial" w:hAnsi="Arial" w:cs="Arial"/>
        </w:rPr>
      </w:pPr>
      <w:r w:rsidRPr="00647B13">
        <w:rPr>
          <w:rFonts w:ascii="Arial" w:hAnsi="Arial" w:cs="Arial"/>
        </w:rPr>
        <w:t xml:space="preserve">Solent Recreation Mitigation Strategy (see further information)** </w:t>
      </w:r>
    </w:p>
    <w:p w14:paraId="3A087086" w14:textId="0CF180F0" w:rsidR="00A328B9" w:rsidRPr="00161466" w:rsidRDefault="00A328B9" w:rsidP="005B56A3">
      <w:pPr>
        <w:pStyle w:val="ListParagraph"/>
        <w:numPr>
          <w:ilvl w:val="0"/>
          <w:numId w:val="1"/>
        </w:numPr>
        <w:rPr>
          <w:rFonts w:ascii="Arial" w:hAnsi="Arial" w:cs="Arial"/>
        </w:rPr>
      </w:pPr>
      <w:r w:rsidRPr="00161466">
        <w:rPr>
          <w:rFonts w:ascii="Arial" w:hAnsi="Arial" w:cs="Arial"/>
        </w:rPr>
        <w:t>Nutrient</w:t>
      </w:r>
      <w:r w:rsidR="00B01433" w:rsidRPr="00161466">
        <w:rPr>
          <w:rFonts w:ascii="Arial" w:hAnsi="Arial" w:cs="Arial"/>
        </w:rPr>
        <w:t xml:space="preserve"> Neutrality</w:t>
      </w:r>
      <w:r w:rsidR="00E27427" w:rsidRPr="00161466">
        <w:rPr>
          <w:rFonts w:ascii="Arial" w:hAnsi="Arial" w:cs="Arial"/>
        </w:rPr>
        <w:t>***</w:t>
      </w:r>
      <w:r w:rsidR="001F63C6" w:rsidRPr="00161466">
        <w:rPr>
          <w:rFonts w:ascii="Arial" w:hAnsi="Arial" w:cs="Arial"/>
        </w:rPr>
        <w:t xml:space="preserve"> </w:t>
      </w:r>
      <w:r w:rsidR="00285AFB" w:rsidRPr="00161466">
        <w:rPr>
          <w:rFonts w:ascii="Arial" w:hAnsi="Arial" w:cs="Arial"/>
        </w:rPr>
        <w:t xml:space="preserve">- </w:t>
      </w:r>
      <w:r w:rsidR="00D70FEF" w:rsidRPr="00161466">
        <w:rPr>
          <w:rFonts w:ascii="Arial" w:hAnsi="Arial" w:cs="Arial"/>
        </w:rPr>
        <w:t xml:space="preserve">the applicant is seeking to purchase </w:t>
      </w:r>
      <w:r w:rsidR="00DD7F07">
        <w:rPr>
          <w:rFonts w:ascii="Arial" w:hAnsi="Arial" w:cs="Arial"/>
        </w:rPr>
        <w:t xml:space="preserve">third party </w:t>
      </w:r>
      <w:r w:rsidR="00D70FEF" w:rsidRPr="00161466">
        <w:rPr>
          <w:rFonts w:ascii="Arial" w:hAnsi="Arial" w:cs="Arial"/>
        </w:rPr>
        <w:t xml:space="preserve">mitigation </w:t>
      </w:r>
      <w:r w:rsidR="00DD7F07">
        <w:rPr>
          <w:rFonts w:ascii="Arial" w:hAnsi="Arial" w:cs="Arial"/>
        </w:rPr>
        <w:t>t</w:t>
      </w:r>
      <w:r w:rsidR="00D70FEF" w:rsidRPr="00161466">
        <w:rPr>
          <w:rFonts w:ascii="Arial" w:hAnsi="Arial" w:cs="Arial"/>
        </w:rPr>
        <w:t xml:space="preserve">his will require ongoing monitoring. There is a separate charge </w:t>
      </w:r>
      <w:r w:rsidR="00DD7F07">
        <w:rPr>
          <w:rFonts w:ascii="Arial" w:hAnsi="Arial" w:cs="Arial"/>
        </w:rPr>
        <w:t>– see bottom of response</w:t>
      </w:r>
      <w:r w:rsidR="00D70FEF" w:rsidRPr="00161466">
        <w:rPr>
          <w:rFonts w:ascii="Arial" w:hAnsi="Arial" w:cs="Arial"/>
        </w:rPr>
        <w:t xml:space="preserve"> </w:t>
      </w:r>
    </w:p>
    <w:p w14:paraId="5335701A" w14:textId="77777777" w:rsidR="00446494" w:rsidRPr="00647B13" w:rsidRDefault="00446494" w:rsidP="00446494">
      <w:pPr>
        <w:pStyle w:val="ListParagraph"/>
        <w:numPr>
          <w:ilvl w:val="0"/>
          <w:numId w:val="1"/>
        </w:numPr>
        <w:rPr>
          <w:rFonts w:ascii="Arial" w:hAnsi="Arial" w:cs="Arial"/>
        </w:rPr>
      </w:pPr>
      <w:r w:rsidRPr="00647B13">
        <w:rPr>
          <w:rFonts w:ascii="Arial" w:hAnsi="Arial" w:cs="Arial"/>
        </w:rPr>
        <w:t>SUDS/SUDS Bond (Bond not necessary if Southern Water have agreed to adopt SUDS once installed)</w:t>
      </w:r>
    </w:p>
    <w:p w14:paraId="0C3AD83B" w14:textId="51C23464" w:rsidR="002E5550" w:rsidRPr="00161466" w:rsidRDefault="002E5550" w:rsidP="005B56A3">
      <w:pPr>
        <w:pStyle w:val="ListParagraph"/>
        <w:numPr>
          <w:ilvl w:val="0"/>
          <w:numId w:val="1"/>
        </w:numPr>
        <w:rPr>
          <w:rFonts w:ascii="Arial" w:hAnsi="Arial" w:cs="Arial"/>
        </w:rPr>
      </w:pPr>
      <w:r w:rsidRPr="00161466">
        <w:rPr>
          <w:rFonts w:ascii="Arial" w:hAnsi="Arial" w:cs="Arial"/>
        </w:rPr>
        <w:t>Employment and Skills Plan</w:t>
      </w:r>
      <w:r w:rsidR="00DD7F07">
        <w:rPr>
          <w:rFonts w:ascii="Arial" w:hAnsi="Arial" w:cs="Arial"/>
        </w:rPr>
        <w:t xml:space="preserve"> </w:t>
      </w:r>
    </w:p>
    <w:p w14:paraId="7A70FD11" w14:textId="5CAF346D" w:rsidR="00CF072B" w:rsidRPr="003A205A" w:rsidRDefault="005B56A3" w:rsidP="00711938">
      <w:pPr>
        <w:pStyle w:val="ListParagraph"/>
        <w:numPr>
          <w:ilvl w:val="0"/>
          <w:numId w:val="1"/>
        </w:numPr>
        <w:rPr>
          <w:rFonts w:ascii="Arial" w:hAnsi="Arial" w:cs="Arial"/>
        </w:rPr>
      </w:pPr>
      <w:r w:rsidRPr="003A205A">
        <w:rPr>
          <w:rFonts w:ascii="Arial" w:hAnsi="Arial" w:cs="Arial"/>
        </w:rPr>
        <w:t>Education (HCC)</w:t>
      </w:r>
    </w:p>
    <w:p w14:paraId="4208A8FA" w14:textId="3D38C6F4" w:rsidR="005B56A3" w:rsidRPr="00124EFF" w:rsidRDefault="005B56A3" w:rsidP="005B56A3">
      <w:pPr>
        <w:pStyle w:val="ListParagraph"/>
        <w:numPr>
          <w:ilvl w:val="0"/>
          <w:numId w:val="1"/>
        </w:numPr>
        <w:rPr>
          <w:rFonts w:ascii="Arial" w:hAnsi="Arial" w:cs="Arial"/>
        </w:rPr>
      </w:pPr>
      <w:r w:rsidRPr="00124EFF">
        <w:rPr>
          <w:rFonts w:ascii="Arial" w:hAnsi="Arial" w:cs="Arial"/>
        </w:rPr>
        <w:t>Site Specific Transport Improvements (HCC)</w:t>
      </w:r>
    </w:p>
    <w:p w14:paraId="46354A18" w14:textId="5AB62D45" w:rsidR="00CF072B" w:rsidRPr="00124EFF" w:rsidRDefault="00CF072B" w:rsidP="005B56A3">
      <w:pPr>
        <w:pStyle w:val="ListParagraph"/>
        <w:numPr>
          <w:ilvl w:val="0"/>
          <w:numId w:val="1"/>
        </w:numPr>
        <w:rPr>
          <w:rFonts w:ascii="Arial" w:hAnsi="Arial" w:cs="Arial"/>
        </w:rPr>
      </w:pPr>
      <w:r w:rsidRPr="00124EFF">
        <w:rPr>
          <w:rFonts w:ascii="Arial" w:hAnsi="Arial" w:cs="Arial"/>
        </w:rPr>
        <w:t>Highway Works (HCC)</w:t>
      </w:r>
    </w:p>
    <w:p w14:paraId="614749BF" w14:textId="74FC0950" w:rsidR="005B56A3" w:rsidRPr="00124EFF" w:rsidRDefault="005B56A3" w:rsidP="005B56A3">
      <w:pPr>
        <w:pStyle w:val="ListParagraph"/>
        <w:numPr>
          <w:ilvl w:val="0"/>
          <w:numId w:val="1"/>
        </w:numPr>
        <w:rPr>
          <w:rFonts w:ascii="Arial" w:hAnsi="Arial" w:cs="Arial"/>
        </w:rPr>
      </w:pPr>
      <w:r w:rsidRPr="00124EFF">
        <w:rPr>
          <w:rFonts w:ascii="Arial" w:hAnsi="Arial" w:cs="Arial"/>
        </w:rPr>
        <w:t>Others</w:t>
      </w:r>
      <w:r w:rsidR="002E39E5" w:rsidRPr="00124EFF">
        <w:rPr>
          <w:rFonts w:ascii="Arial" w:hAnsi="Arial" w:cs="Arial"/>
        </w:rPr>
        <w:t xml:space="preserve"> arising out of consultee responses</w:t>
      </w:r>
    </w:p>
    <w:p w14:paraId="1F54133E" w14:textId="77777777" w:rsidR="000E51C0" w:rsidRPr="00784F33" w:rsidRDefault="000E51C0" w:rsidP="000E51C0">
      <w:pPr>
        <w:autoSpaceDE w:val="0"/>
        <w:autoSpaceDN w:val="0"/>
        <w:adjustRightInd w:val="0"/>
        <w:spacing w:after="0" w:line="240" w:lineRule="auto"/>
        <w:rPr>
          <w:rFonts w:ascii="Arial" w:hAnsi="Arial" w:cs="Arial"/>
          <w:b/>
          <w:color w:val="FF0000"/>
        </w:rPr>
      </w:pPr>
    </w:p>
    <w:p w14:paraId="0B97E62D" w14:textId="77777777" w:rsidR="000E51C0" w:rsidRPr="003A205A" w:rsidRDefault="000E51C0" w:rsidP="000E51C0">
      <w:pPr>
        <w:rPr>
          <w:rStyle w:val="Hyperlink"/>
          <w:rFonts w:ascii="Arial" w:hAnsi="Arial" w:cs="Arial"/>
          <w:b/>
          <w:color w:val="auto"/>
        </w:rPr>
      </w:pPr>
      <w:r w:rsidRPr="003A205A">
        <w:rPr>
          <w:rStyle w:val="Hyperlink"/>
          <w:rFonts w:ascii="Arial" w:hAnsi="Arial" w:cs="Arial"/>
          <w:b/>
          <w:color w:val="auto"/>
        </w:rPr>
        <w:t>SEE THE HBC DEVELOPER CONTRIBUTIONS GUIDE FOR ADDITIONAL INFORMATION:</w:t>
      </w:r>
    </w:p>
    <w:p w14:paraId="5D6603F1" w14:textId="4BF7C9F1" w:rsidR="000E51C0" w:rsidRPr="003A205A" w:rsidRDefault="000E51C0" w:rsidP="000E51C0">
      <w:pPr>
        <w:autoSpaceDE w:val="0"/>
        <w:autoSpaceDN w:val="0"/>
        <w:adjustRightInd w:val="0"/>
        <w:spacing w:after="0" w:line="240" w:lineRule="auto"/>
        <w:rPr>
          <w:rStyle w:val="Hyperlink"/>
          <w:rFonts w:ascii="Arial" w:hAnsi="Arial" w:cs="Arial"/>
          <w:color w:val="auto"/>
        </w:rPr>
      </w:pPr>
      <w:r w:rsidRPr="003A205A">
        <w:rPr>
          <w:rFonts w:ascii="Arial" w:hAnsi="Arial" w:cs="Arial"/>
        </w:rPr>
        <w:t xml:space="preserve">Latest version accessible from: </w:t>
      </w:r>
      <w:hyperlink r:id="rId8" w:history="1">
        <w:r w:rsidRPr="003A205A">
          <w:rPr>
            <w:rStyle w:val="Hyperlink"/>
            <w:rFonts w:ascii="Arial" w:hAnsi="Arial" w:cs="Arial"/>
            <w:color w:val="auto"/>
          </w:rPr>
          <w:t>https://www.havant.gov.uk/community-infrastructure-levy</w:t>
        </w:r>
      </w:hyperlink>
    </w:p>
    <w:p w14:paraId="7C0AF21F" w14:textId="4AF78BB8" w:rsidR="00BA69B3" w:rsidRPr="00784F33" w:rsidRDefault="00BA69B3" w:rsidP="000E51C0">
      <w:pPr>
        <w:autoSpaceDE w:val="0"/>
        <w:autoSpaceDN w:val="0"/>
        <w:adjustRightInd w:val="0"/>
        <w:spacing w:after="0" w:line="240" w:lineRule="auto"/>
        <w:rPr>
          <w:rStyle w:val="Hyperlink"/>
          <w:rFonts w:ascii="Arial" w:hAnsi="Arial" w:cs="Arial"/>
          <w:color w:val="FF0000"/>
        </w:rPr>
      </w:pPr>
    </w:p>
    <w:p w14:paraId="4A2A3DA5" w14:textId="3792EDFA" w:rsidR="00BA69B3" w:rsidRPr="00532632" w:rsidRDefault="00BA69B3" w:rsidP="00BA69B3">
      <w:pPr>
        <w:autoSpaceDE w:val="0"/>
        <w:autoSpaceDN w:val="0"/>
        <w:adjustRightInd w:val="0"/>
        <w:spacing w:after="0" w:line="240" w:lineRule="auto"/>
        <w:rPr>
          <w:rFonts w:ascii="Arial" w:hAnsi="Arial" w:cs="Arial"/>
        </w:rPr>
      </w:pPr>
      <w:r w:rsidRPr="00532632">
        <w:rPr>
          <w:rFonts w:ascii="Arial" w:hAnsi="Arial" w:cs="Arial"/>
          <w:b/>
        </w:rPr>
        <w:t xml:space="preserve">*HBC Monitoring Fees:  </w:t>
      </w:r>
      <w:r w:rsidRPr="00532632">
        <w:rPr>
          <w:rFonts w:ascii="Arial" w:hAnsi="Arial" w:cs="Arial"/>
        </w:rPr>
        <w:t>As part of the ‘Heads of Terms’ it is necessary to include monitoring fees.</w:t>
      </w:r>
      <w:r w:rsidRPr="00532632">
        <w:rPr>
          <w:rFonts w:ascii="Arial" w:hAnsi="Arial" w:cs="Arial"/>
          <w:b/>
        </w:rPr>
        <w:t xml:space="preserve"> </w:t>
      </w:r>
      <w:r w:rsidRPr="00532632">
        <w:rPr>
          <w:rFonts w:ascii="Arial" w:hAnsi="Arial" w:cs="Arial"/>
        </w:rPr>
        <w:t>The amended CIL Regulations effective 1/9/19 regularise the collection of S106 monitoring fees. We have an agreed schedule of charge</w:t>
      </w:r>
      <w:r w:rsidR="006F2FAD" w:rsidRPr="00532632">
        <w:rPr>
          <w:rFonts w:ascii="Arial" w:hAnsi="Arial" w:cs="Arial"/>
        </w:rPr>
        <w:t>s</w:t>
      </w:r>
      <w:r w:rsidRPr="00532632">
        <w:rPr>
          <w:rFonts w:ascii="Arial" w:hAnsi="Arial" w:cs="Arial"/>
        </w:rPr>
        <w:t xml:space="preserve">: </w:t>
      </w:r>
    </w:p>
    <w:p w14:paraId="518BC0AD" w14:textId="77777777" w:rsidR="00BA69B3" w:rsidRPr="00532632" w:rsidRDefault="00BA69B3" w:rsidP="00BA69B3">
      <w:pPr>
        <w:autoSpaceDE w:val="0"/>
        <w:autoSpaceDN w:val="0"/>
        <w:adjustRightInd w:val="0"/>
        <w:spacing w:after="0" w:line="240" w:lineRule="auto"/>
        <w:rPr>
          <w:rFonts w:ascii="Arial" w:hAnsi="Arial" w:cs="Arial"/>
        </w:rPr>
      </w:pPr>
    </w:p>
    <w:p w14:paraId="173D332A" w14:textId="19B5E792" w:rsidR="007B1797" w:rsidRPr="00532632" w:rsidRDefault="007B1797" w:rsidP="007B1797">
      <w:pPr>
        <w:shd w:val="clear" w:color="auto" w:fill="FFFFFF"/>
        <w:spacing w:after="0" w:line="240" w:lineRule="auto"/>
        <w:rPr>
          <w:rFonts w:ascii="Arial" w:eastAsia="Times New Roman" w:hAnsi="Arial" w:cs="Arial"/>
          <w:b/>
          <w:bCs/>
          <w:lang w:eastAsia="en-GB"/>
        </w:rPr>
      </w:pPr>
      <w:r w:rsidRPr="00532632">
        <w:rPr>
          <w:rFonts w:ascii="Arial" w:eastAsia="Times New Roman" w:hAnsi="Arial" w:cs="Arial"/>
          <w:b/>
          <w:bCs/>
          <w:lang w:eastAsia="en-GB"/>
        </w:rPr>
        <w:t>From 1 April 202</w:t>
      </w:r>
      <w:r w:rsidR="003A205A" w:rsidRPr="00532632">
        <w:rPr>
          <w:rFonts w:ascii="Arial" w:eastAsia="Times New Roman" w:hAnsi="Arial" w:cs="Arial"/>
          <w:b/>
          <w:bCs/>
          <w:lang w:eastAsia="en-GB"/>
        </w:rPr>
        <w:t>5</w:t>
      </w:r>
    </w:p>
    <w:p w14:paraId="21E07F38" w14:textId="79FF2FBD" w:rsidR="007B1797" w:rsidRPr="00532632" w:rsidRDefault="007B1797" w:rsidP="007B1797">
      <w:pPr>
        <w:numPr>
          <w:ilvl w:val="0"/>
          <w:numId w:val="4"/>
        </w:numPr>
        <w:shd w:val="clear" w:color="auto" w:fill="FFFFFF"/>
        <w:spacing w:after="0" w:line="240" w:lineRule="auto"/>
        <w:rPr>
          <w:rFonts w:ascii="Arial" w:eastAsia="Times New Roman" w:hAnsi="Arial" w:cs="Arial"/>
          <w:lang w:eastAsia="en-GB"/>
        </w:rPr>
      </w:pPr>
      <w:r w:rsidRPr="00532632">
        <w:rPr>
          <w:rFonts w:ascii="Arial" w:eastAsia="Times New Roman" w:hAnsi="Arial" w:cs="Arial"/>
          <w:lang w:eastAsia="en-GB"/>
        </w:rPr>
        <w:t>£</w:t>
      </w:r>
      <w:r w:rsidR="00B547F9" w:rsidRPr="00532632">
        <w:rPr>
          <w:rFonts w:ascii="Arial" w:eastAsia="Times New Roman" w:hAnsi="Arial" w:cs="Arial"/>
          <w:lang w:eastAsia="en-GB"/>
        </w:rPr>
        <w:t>9</w:t>
      </w:r>
      <w:r w:rsidR="003A205A" w:rsidRPr="00532632">
        <w:rPr>
          <w:rFonts w:ascii="Arial" w:eastAsia="Times New Roman" w:hAnsi="Arial" w:cs="Arial"/>
          <w:lang w:eastAsia="en-GB"/>
        </w:rPr>
        <w:t>76</w:t>
      </w:r>
      <w:r w:rsidRPr="00532632">
        <w:rPr>
          <w:rFonts w:ascii="Arial" w:eastAsia="Times New Roman" w:hAnsi="Arial" w:cs="Arial"/>
          <w:lang w:eastAsia="en-GB"/>
        </w:rPr>
        <w:t xml:space="preserve"> per non-financial head of term (outside the scope of VAT)</w:t>
      </w:r>
    </w:p>
    <w:p w14:paraId="3C7D3A38" w14:textId="630D8E3F" w:rsidR="007B1797" w:rsidRPr="00532632" w:rsidRDefault="007B1797" w:rsidP="007B1797">
      <w:pPr>
        <w:numPr>
          <w:ilvl w:val="0"/>
          <w:numId w:val="4"/>
        </w:numPr>
        <w:shd w:val="clear" w:color="auto" w:fill="FFFFFF"/>
        <w:spacing w:after="0" w:line="240" w:lineRule="auto"/>
        <w:rPr>
          <w:rFonts w:ascii="Arial" w:eastAsia="Times New Roman" w:hAnsi="Arial" w:cs="Arial"/>
          <w:lang w:eastAsia="en-GB"/>
        </w:rPr>
      </w:pPr>
      <w:r w:rsidRPr="00532632">
        <w:rPr>
          <w:rFonts w:ascii="Arial" w:eastAsia="Times New Roman" w:hAnsi="Arial" w:cs="Arial"/>
          <w:lang w:eastAsia="en-GB"/>
        </w:rPr>
        <w:t>5% of cost per</w:t>
      </w:r>
      <w:r w:rsidR="00B547F9" w:rsidRPr="00532632">
        <w:rPr>
          <w:rFonts w:ascii="Arial" w:eastAsia="Times New Roman" w:hAnsi="Arial" w:cs="Arial"/>
          <w:lang w:eastAsia="en-GB"/>
        </w:rPr>
        <w:t xml:space="preserve"> </w:t>
      </w:r>
      <w:r w:rsidRPr="00532632">
        <w:rPr>
          <w:rFonts w:ascii="Arial" w:eastAsia="Times New Roman" w:hAnsi="Arial" w:cs="Arial"/>
          <w:lang w:eastAsia="en-GB"/>
        </w:rPr>
        <w:t xml:space="preserve"> </w:t>
      </w:r>
      <w:r w:rsidR="00B547F9" w:rsidRPr="00532632">
        <w:rPr>
          <w:rFonts w:ascii="Arial" w:eastAsia="Times New Roman" w:hAnsi="Arial" w:cs="Arial"/>
          <w:lang w:eastAsia="en-GB"/>
        </w:rPr>
        <w:t xml:space="preserve">Havant Borough Council </w:t>
      </w:r>
      <w:r w:rsidRPr="00532632">
        <w:rPr>
          <w:rFonts w:ascii="Arial" w:eastAsia="Times New Roman" w:hAnsi="Arial" w:cs="Arial"/>
          <w:lang w:eastAsia="en-GB"/>
        </w:rPr>
        <w:t>financial head of term (outside the scope of VAT)</w:t>
      </w:r>
    </w:p>
    <w:p w14:paraId="565C6611" w14:textId="77777777" w:rsidR="00B547F9" w:rsidRPr="00532632" w:rsidRDefault="00B547F9" w:rsidP="00B547F9">
      <w:pPr>
        <w:shd w:val="clear" w:color="auto" w:fill="FFFFFF"/>
        <w:spacing w:after="0" w:line="240" w:lineRule="auto"/>
        <w:ind w:left="720"/>
        <w:rPr>
          <w:rFonts w:ascii="Arial" w:eastAsia="Times New Roman" w:hAnsi="Arial" w:cs="Arial"/>
          <w:lang w:eastAsia="en-GB"/>
        </w:rPr>
      </w:pPr>
    </w:p>
    <w:p w14:paraId="36E947B3" w14:textId="2BFAE5F2" w:rsidR="00CF072B" w:rsidRPr="00784F33" w:rsidRDefault="00B547F9" w:rsidP="00577B9E">
      <w:pPr>
        <w:shd w:val="clear" w:color="auto" w:fill="FFFFFF"/>
        <w:spacing w:after="0" w:line="240" w:lineRule="auto"/>
        <w:rPr>
          <w:rFonts w:ascii="Arial" w:eastAsia="Times New Roman" w:hAnsi="Arial" w:cs="Arial"/>
          <w:color w:val="FF0000"/>
          <w:lang w:eastAsia="en-GB"/>
        </w:rPr>
      </w:pPr>
      <w:r w:rsidRPr="00532632">
        <w:rPr>
          <w:rFonts w:ascii="Arial" w:eastAsia="Times New Roman" w:hAnsi="Arial" w:cs="Arial"/>
          <w:lang w:eastAsia="en-GB"/>
        </w:rPr>
        <w:t>This contribution is indexed in accordance with the CPI.</w:t>
      </w:r>
    </w:p>
    <w:p w14:paraId="35589B30" w14:textId="77777777" w:rsidR="00BA69B3" w:rsidRPr="00784F33" w:rsidRDefault="00BA69B3" w:rsidP="00BA69B3">
      <w:pPr>
        <w:autoSpaceDE w:val="0"/>
        <w:autoSpaceDN w:val="0"/>
        <w:adjustRightInd w:val="0"/>
        <w:spacing w:after="0" w:line="240" w:lineRule="auto"/>
        <w:rPr>
          <w:rFonts w:ascii="Arial" w:hAnsi="Arial" w:cs="Arial"/>
          <w:color w:val="FF0000"/>
        </w:rPr>
      </w:pPr>
    </w:p>
    <w:p w14:paraId="23465004" w14:textId="77777777" w:rsidR="00BA69B3" w:rsidRPr="00532632" w:rsidRDefault="00BA69B3" w:rsidP="00BA69B3">
      <w:pPr>
        <w:rPr>
          <w:rFonts w:ascii="Arial" w:hAnsi="Arial" w:cs="Arial"/>
          <w:b/>
        </w:rPr>
      </w:pPr>
      <w:r w:rsidRPr="00784F33">
        <w:rPr>
          <w:rFonts w:ascii="Arial" w:hAnsi="Arial" w:cs="Arial"/>
          <w:b/>
          <w:color w:val="FF0000"/>
        </w:rPr>
        <w:t xml:space="preserve"> </w:t>
      </w:r>
      <w:r w:rsidRPr="00532632">
        <w:rPr>
          <w:rFonts w:ascii="Arial" w:hAnsi="Arial" w:cs="Arial"/>
          <w:b/>
        </w:rPr>
        <w:t>**Solent Recreation Mitigation Strategy</w:t>
      </w:r>
    </w:p>
    <w:p w14:paraId="5B78702F" w14:textId="69E0C919" w:rsidR="00BA69B3" w:rsidRPr="00532632" w:rsidRDefault="00BA69B3" w:rsidP="00BA69B3">
      <w:pPr>
        <w:rPr>
          <w:rStyle w:val="Hyperlink"/>
          <w:rFonts w:ascii="Arial" w:hAnsi="Arial" w:cs="Arial"/>
          <w:color w:val="auto"/>
        </w:rPr>
      </w:pPr>
      <w:r w:rsidRPr="00532632">
        <w:rPr>
          <w:rFonts w:ascii="Arial" w:hAnsi="Arial" w:cs="Arial"/>
        </w:rPr>
        <w:t>The charges</w:t>
      </w:r>
      <w:r w:rsidR="006F2FAD" w:rsidRPr="00532632">
        <w:rPr>
          <w:rFonts w:ascii="Arial" w:hAnsi="Arial" w:cs="Arial"/>
        </w:rPr>
        <w:t xml:space="preserve"> will be</w:t>
      </w:r>
      <w:r w:rsidRPr="00532632">
        <w:rPr>
          <w:rFonts w:ascii="Arial" w:hAnsi="Arial" w:cs="Arial"/>
        </w:rPr>
        <w:t xml:space="preserve"> updated 1/4/2</w:t>
      </w:r>
      <w:r w:rsidR="006F2FAD" w:rsidRPr="00532632">
        <w:rPr>
          <w:rFonts w:ascii="Arial" w:hAnsi="Arial" w:cs="Arial"/>
        </w:rPr>
        <w:t>4</w:t>
      </w:r>
      <w:r w:rsidRPr="00532632">
        <w:rPr>
          <w:rFonts w:ascii="Arial" w:hAnsi="Arial" w:cs="Arial"/>
        </w:rPr>
        <w:t xml:space="preserve"> are set out below, based on the maximum number of </w:t>
      </w:r>
      <w:r w:rsidRPr="00532632">
        <w:rPr>
          <w:rFonts w:ascii="Arial" w:hAnsi="Arial" w:cs="Arial"/>
          <w:b/>
          <w:bCs/>
        </w:rPr>
        <w:t>net</w:t>
      </w:r>
      <w:r w:rsidRPr="00532632">
        <w:rPr>
          <w:rFonts w:ascii="Arial" w:hAnsi="Arial" w:cs="Arial"/>
        </w:rPr>
        <w:t xml:space="preserve"> new dwellings and bedroom sizes; contribution will be indexed (RPI), these rates will be updated 1/4/2</w:t>
      </w:r>
      <w:r w:rsidR="006F2FAD" w:rsidRPr="00532632">
        <w:rPr>
          <w:rFonts w:ascii="Arial" w:hAnsi="Arial" w:cs="Arial"/>
        </w:rPr>
        <w:t>5</w:t>
      </w:r>
      <w:r w:rsidRPr="00532632">
        <w:rPr>
          <w:rFonts w:ascii="Arial" w:hAnsi="Arial" w:cs="Arial"/>
        </w:rPr>
        <w:t xml:space="preserve">: </w:t>
      </w:r>
      <w:hyperlink r:id="rId9" w:history="1">
        <w:r w:rsidRPr="00532632">
          <w:rPr>
            <w:rStyle w:val="Hyperlink"/>
            <w:rFonts w:ascii="Arial" w:hAnsi="Arial" w:cs="Arial"/>
            <w:color w:val="auto"/>
          </w:rPr>
          <w:t>http://www.havant.gov.uk/unilateral-undertaking-solent-recreation-mitigation-strategy</w:t>
        </w:r>
      </w:hyperlink>
    </w:p>
    <w:tbl>
      <w:tblPr>
        <w:tblStyle w:val="TableGrid"/>
        <w:tblW w:w="0" w:type="auto"/>
        <w:jc w:val="center"/>
        <w:tblLook w:val="04A0" w:firstRow="1" w:lastRow="0" w:firstColumn="1" w:lastColumn="0" w:noHBand="0" w:noVBand="1"/>
      </w:tblPr>
      <w:tblGrid>
        <w:gridCol w:w="2222"/>
        <w:gridCol w:w="1106"/>
        <w:gridCol w:w="5688"/>
      </w:tblGrid>
      <w:tr w:rsidR="00532632" w:rsidRPr="00532632" w14:paraId="473424D6" w14:textId="77777777" w:rsidTr="00E9697F">
        <w:trPr>
          <w:trHeight w:val="542"/>
          <w:jc w:val="center"/>
        </w:trPr>
        <w:tc>
          <w:tcPr>
            <w:tcW w:w="2222" w:type="dxa"/>
          </w:tcPr>
          <w:p w14:paraId="3674A6E6" w14:textId="77777777" w:rsidR="00BA69B3" w:rsidRPr="00532632"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b/>
                <w:sz w:val="20"/>
                <w:szCs w:val="20"/>
              </w:rPr>
            </w:pPr>
            <w:r w:rsidRPr="00532632">
              <w:rPr>
                <w:rFonts w:ascii="Arial" w:hAnsi="Arial" w:cs="Arial"/>
                <w:b/>
                <w:sz w:val="20"/>
                <w:szCs w:val="20"/>
              </w:rPr>
              <w:t>No of Bedrooms</w:t>
            </w:r>
          </w:p>
        </w:tc>
        <w:tc>
          <w:tcPr>
            <w:tcW w:w="1106" w:type="dxa"/>
          </w:tcPr>
          <w:p w14:paraId="343387A4" w14:textId="77777777" w:rsidR="00BA69B3" w:rsidRPr="00532632"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b/>
                <w:sz w:val="20"/>
                <w:szCs w:val="20"/>
              </w:rPr>
            </w:pPr>
            <w:r w:rsidRPr="00532632">
              <w:rPr>
                <w:rFonts w:ascii="Arial" w:hAnsi="Arial" w:cs="Arial"/>
                <w:b/>
                <w:sz w:val="20"/>
                <w:szCs w:val="20"/>
              </w:rPr>
              <w:t>Amount</w:t>
            </w:r>
          </w:p>
        </w:tc>
        <w:tc>
          <w:tcPr>
            <w:tcW w:w="5688" w:type="dxa"/>
          </w:tcPr>
          <w:p w14:paraId="37E7805C" w14:textId="77777777" w:rsidR="00BA69B3" w:rsidRPr="00532632"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rPr>
                <w:rFonts w:ascii="Arial" w:hAnsi="Arial" w:cs="Arial"/>
                <w:b/>
                <w:sz w:val="20"/>
                <w:szCs w:val="20"/>
              </w:rPr>
            </w:pPr>
            <w:r w:rsidRPr="00532632">
              <w:rPr>
                <w:rFonts w:ascii="Arial" w:hAnsi="Arial" w:cs="Arial"/>
                <w:b/>
                <w:sz w:val="20"/>
                <w:szCs w:val="20"/>
              </w:rPr>
              <w:t>Monitoring Fee</w:t>
            </w:r>
          </w:p>
        </w:tc>
      </w:tr>
      <w:tr w:rsidR="00532632" w:rsidRPr="00532632" w14:paraId="1926B826" w14:textId="77777777" w:rsidTr="00E9697F">
        <w:trPr>
          <w:trHeight w:val="451"/>
          <w:jc w:val="center"/>
        </w:trPr>
        <w:tc>
          <w:tcPr>
            <w:tcW w:w="2222" w:type="dxa"/>
          </w:tcPr>
          <w:p w14:paraId="3675F04C" w14:textId="77777777" w:rsidR="006F2FAD" w:rsidRPr="00532632" w:rsidRDefault="006F2FAD"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sz w:val="20"/>
                <w:szCs w:val="20"/>
              </w:rPr>
            </w:pPr>
            <w:r w:rsidRPr="00532632">
              <w:rPr>
                <w:rFonts w:ascii="Arial" w:hAnsi="Arial" w:cs="Arial"/>
                <w:sz w:val="20"/>
                <w:szCs w:val="20"/>
              </w:rPr>
              <w:t>1</w:t>
            </w:r>
          </w:p>
        </w:tc>
        <w:tc>
          <w:tcPr>
            <w:tcW w:w="1106" w:type="dxa"/>
          </w:tcPr>
          <w:p w14:paraId="6590632E" w14:textId="50254119" w:rsidR="006F2FAD" w:rsidRPr="00532632" w:rsidRDefault="006F2FAD"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jc w:val="right"/>
              <w:rPr>
                <w:rFonts w:ascii="Arial" w:hAnsi="Arial" w:cs="Arial"/>
                <w:sz w:val="20"/>
                <w:szCs w:val="20"/>
              </w:rPr>
            </w:pPr>
            <w:r w:rsidRPr="00532632">
              <w:rPr>
                <w:rFonts w:ascii="Arial" w:hAnsi="Arial" w:cs="Arial"/>
                <w:sz w:val="20"/>
                <w:szCs w:val="20"/>
              </w:rPr>
              <w:t>£465</w:t>
            </w:r>
          </w:p>
        </w:tc>
        <w:tc>
          <w:tcPr>
            <w:tcW w:w="5688" w:type="dxa"/>
            <w:vMerge w:val="restart"/>
          </w:tcPr>
          <w:p w14:paraId="6F39D82A" w14:textId="77777777" w:rsidR="006F2FAD" w:rsidRPr="00532632" w:rsidRDefault="006F2FAD"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rPr>
                <w:rFonts w:ascii="Arial" w:hAnsi="Arial" w:cs="Arial"/>
                <w:sz w:val="20"/>
                <w:szCs w:val="20"/>
              </w:rPr>
            </w:pPr>
            <w:r w:rsidRPr="00532632">
              <w:rPr>
                <w:rFonts w:ascii="Arial" w:hAnsi="Arial" w:cs="Arial"/>
                <w:sz w:val="20"/>
                <w:szCs w:val="20"/>
              </w:rPr>
              <w:t>Plus 5% of total (sum may be included in ‘HBC Monitoring Fees’)</w:t>
            </w:r>
          </w:p>
        </w:tc>
      </w:tr>
      <w:tr w:rsidR="00784F33" w:rsidRPr="00784F33" w14:paraId="1285130F" w14:textId="77777777" w:rsidTr="00E9697F">
        <w:trPr>
          <w:trHeight w:val="451"/>
          <w:jc w:val="center"/>
        </w:trPr>
        <w:tc>
          <w:tcPr>
            <w:tcW w:w="2222" w:type="dxa"/>
          </w:tcPr>
          <w:p w14:paraId="7D734B10" w14:textId="77777777" w:rsidR="006F2FAD" w:rsidRPr="00532632" w:rsidRDefault="006F2FAD"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sz w:val="20"/>
                <w:szCs w:val="20"/>
              </w:rPr>
            </w:pPr>
            <w:r w:rsidRPr="00532632">
              <w:rPr>
                <w:rFonts w:ascii="Arial" w:hAnsi="Arial" w:cs="Arial"/>
                <w:sz w:val="20"/>
                <w:szCs w:val="20"/>
              </w:rPr>
              <w:t>2</w:t>
            </w:r>
          </w:p>
        </w:tc>
        <w:tc>
          <w:tcPr>
            <w:tcW w:w="1106" w:type="dxa"/>
          </w:tcPr>
          <w:p w14:paraId="4B13AD08" w14:textId="09F45916" w:rsidR="006F2FAD" w:rsidRPr="00532632" w:rsidRDefault="006F2FAD"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jc w:val="right"/>
              <w:rPr>
                <w:rFonts w:ascii="Arial" w:hAnsi="Arial" w:cs="Arial"/>
                <w:sz w:val="20"/>
                <w:szCs w:val="20"/>
              </w:rPr>
            </w:pPr>
            <w:r w:rsidRPr="00532632">
              <w:rPr>
                <w:rFonts w:ascii="Arial" w:hAnsi="Arial" w:cs="Arial"/>
                <w:sz w:val="20"/>
                <w:szCs w:val="20"/>
              </w:rPr>
              <w:t>£671</w:t>
            </w:r>
          </w:p>
        </w:tc>
        <w:tc>
          <w:tcPr>
            <w:tcW w:w="5688" w:type="dxa"/>
            <w:vMerge/>
          </w:tcPr>
          <w:p w14:paraId="4CE1EE70" w14:textId="77777777" w:rsidR="006F2FAD" w:rsidRPr="00532632" w:rsidRDefault="006F2FAD"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rPr>
                <w:rFonts w:ascii="Arial" w:hAnsi="Arial" w:cs="Arial"/>
              </w:rPr>
            </w:pPr>
          </w:p>
        </w:tc>
      </w:tr>
      <w:tr w:rsidR="00784F33" w:rsidRPr="00784F33" w14:paraId="645E3BF9" w14:textId="77777777" w:rsidTr="00E9697F">
        <w:trPr>
          <w:trHeight w:val="451"/>
          <w:jc w:val="center"/>
        </w:trPr>
        <w:tc>
          <w:tcPr>
            <w:tcW w:w="2222" w:type="dxa"/>
          </w:tcPr>
          <w:p w14:paraId="1638EE29" w14:textId="77777777" w:rsidR="006F2FAD" w:rsidRPr="00532632" w:rsidRDefault="006F2FAD"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sz w:val="20"/>
                <w:szCs w:val="20"/>
              </w:rPr>
            </w:pPr>
            <w:r w:rsidRPr="00532632">
              <w:rPr>
                <w:rFonts w:ascii="Arial" w:hAnsi="Arial" w:cs="Arial"/>
                <w:sz w:val="20"/>
                <w:szCs w:val="20"/>
              </w:rPr>
              <w:t>3</w:t>
            </w:r>
          </w:p>
        </w:tc>
        <w:tc>
          <w:tcPr>
            <w:tcW w:w="1106" w:type="dxa"/>
          </w:tcPr>
          <w:p w14:paraId="211547DB" w14:textId="425F4490" w:rsidR="006F2FAD" w:rsidRPr="00532632" w:rsidRDefault="006F2FAD"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jc w:val="right"/>
              <w:rPr>
                <w:rFonts w:ascii="Arial" w:hAnsi="Arial" w:cs="Arial"/>
                <w:sz w:val="20"/>
                <w:szCs w:val="20"/>
              </w:rPr>
            </w:pPr>
            <w:r w:rsidRPr="00532632">
              <w:rPr>
                <w:rFonts w:ascii="Arial" w:hAnsi="Arial" w:cs="Arial"/>
                <w:sz w:val="20"/>
                <w:szCs w:val="20"/>
              </w:rPr>
              <w:t>£875</w:t>
            </w:r>
          </w:p>
        </w:tc>
        <w:tc>
          <w:tcPr>
            <w:tcW w:w="5688" w:type="dxa"/>
            <w:vMerge/>
          </w:tcPr>
          <w:p w14:paraId="48724F6F" w14:textId="77777777" w:rsidR="006F2FAD" w:rsidRPr="00532632" w:rsidRDefault="006F2FAD"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rPr>
                <w:rFonts w:ascii="Arial" w:hAnsi="Arial" w:cs="Arial"/>
              </w:rPr>
            </w:pPr>
          </w:p>
        </w:tc>
      </w:tr>
      <w:tr w:rsidR="00784F33" w:rsidRPr="00784F33" w14:paraId="4DE29216" w14:textId="77777777" w:rsidTr="00E9697F">
        <w:trPr>
          <w:trHeight w:val="451"/>
          <w:jc w:val="center"/>
        </w:trPr>
        <w:tc>
          <w:tcPr>
            <w:tcW w:w="2222" w:type="dxa"/>
          </w:tcPr>
          <w:p w14:paraId="0E2FB9D1" w14:textId="77777777" w:rsidR="006F2FAD" w:rsidRPr="00532632" w:rsidRDefault="006F2FAD"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sz w:val="20"/>
                <w:szCs w:val="20"/>
              </w:rPr>
            </w:pPr>
            <w:r w:rsidRPr="00532632">
              <w:rPr>
                <w:rFonts w:ascii="Arial" w:hAnsi="Arial" w:cs="Arial"/>
                <w:sz w:val="20"/>
                <w:szCs w:val="20"/>
              </w:rPr>
              <w:t>4</w:t>
            </w:r>
          </w:p>
        </w:tc>
        <w:tc>
          <w:tcPr>
            <w:tcW w:w="1106" w:type="dxa"/>
          </w:tcPr>
          <w:p w14:paraId="57F85227" w14:textId="3B353FB1" w:rsidR="006F2FAD" w:rsidRPr="00532632" w:rsidRDefault="006F2FAD"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jc w:val="right"/>
              <w:rPr>
                <w:rFonts w:ascii="Arial" w:hAnsi="Arial" w:cs="Arial"/>
                <w:sz w:val="20"/>
                <w:szCs w:val="20"/>
              </w:rPr>
            </w:pPr>
            <w:r w:rsidRPr="00532632">
              <w:rPr>
                <w:rFonts w:ascii="Arial" w:hAnsi="Arial" w:cs="Arial"/>
                <w:sz w:val="20"/>
                <w:szCs w:val="20"/>
              </w:rPr>
              <w:t>£1029</w:t>
            </w:r>
          </w:p>
        </w:tc>
        <w:tc>
          <w:tcPr>
            <w:tcW w:w="5688" w:type="dxa"/>
            <w:vMerge/>
          </w:tcPr>
          <w:p w14:paraId="6C748A17" w14:textId="77777777" w:rsidR="006F2FAD" w:rsidRPr="00532632" w:rsidRDefault="006F2FAD"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rPr>
                <w:rFonts w:ascii="Arial" w:hAnsi="Arial" w:cs="Arial"/>
              </w:rPr>
            </w:pPr>
          </w:p>
        </w:tc>
      </w:tr>
      <w:tr w:rsidR="00784F33" w:rsidRPr="00784F33" w14:paraId="4D51FDAC" w14:textId="77777777" w:rsidTr="00E9697F">
        <w:trPr>
          <w:trHeight w:val="70"/>
          <w:jc w:val="center"/>
        </w:trPr>
        <w:tc>
          <w:tcPr>
            <w:tcW w:w="2222" w:type="dxa"/>
          </w:tcPr>
          <w:p w14:paraId="080B280B" w14:textId="327DB2EE" w:rsidR="006F2FAD" w:rsidRPr="00532632" w:rsidRDefault="006F2FAD"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sz w:val="20"/>
                <w:szCs w:val="20"/>
              </w:rPr>
            </w:pPr>
            <w:r w:rsidRPr="00532632">
              <w:rPr>
                <w:rFonts w:ascii="Arial" w:hAnsi="Arial" w:cs="Arial"/>
                <w:sz w:val="20"/>
                <w:szCs w:val="20"/>
              </w:rPr>
              <w:t>5</w:t>
            </w:r>
          </w:p>
        </w:tc>
        <w:tc>
          <w:tcPr>
            <w:tcW w:w="1106" w:type="dxa"/>
          </w:tcPr>
          <w:p w14:paraId="2F0BDD81" w14:textId="1198EB0B" w:rsidR="006F2FAD" w:rsidRPr="00532632" w:rsidRDefault="006F2FAD"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jc w:val="right"/>
              <w:rPr>
                <w:rFonts w:ascii="Arial" w:hAnsi="Arial" w:cs="Arial"/>
                <w:sz w:val="20"/>
                <w:szCs w:val="20"/>
              </w:rPr>
            </w:pPr>
            <w:r w:rsidRPr="00532632">
              <w:rPr>
                <w:rFonts w:ascii="Arial" w:hAnsi="Arial" w:cs="Arial"/>
                <w:sz w:val="20"/>
                <w:szCs w:val="20"/>
              </w:rPr>
              <w:t>£1,207</w:t>
            </w:r>
          </w:p>
        </w:tc>
        <w:tc>
          <w:tcPr>
            <w:tcW w:w="5688" w:type="dxa"/>
            <w:vMerge/>
          </w:tcPr>
          <w:p w14:paraId="753D577B" w14:textId="77777777" w:rsidR="006F2FAD" w:rsidRPr="00532632" w:rsidRDefault="006F2FAD"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rPr>
                <w:rFonts w:ascii="Arial" w:hAnsi="Arial" w:cs="Arial"/>
              </w:rPr>
            </w:pPr>
          </w:p>
        </w:tc>
      </w:tr>
      <w:tr w:rsidR="006F2FAD" w:rsidRPr="00784F33" w14:paraId="3525AA06" w14:textId="77777777" w:rsidTr="00E9697F">
        <w:trPr>
          <w:trHeight w:val="70"/>
          <w:jc w:val="center"/>
        </w:trPr>
        <w:tc>
          <w:tcPr>
            <w:tcW w:w="2222" w:type="dxa"/>
          </w:tcPr>
          <w:p w14:paraId="2752572E" w14:textId="68A6D80A" w:rsidR="006F2FAD" w:rsidRPr="00532632" w:rsidRDefault="006F2FAD"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sz w:val="20"/>
                <w:szCs w:val="20"/>
              </w:rPr>
            </w:pPr>
            <w:r w:rsidRPr="00532632">
              <w:rPr>
                <w:rFonts w:ascii="Arial" w:hAnsi="Arial" w:cs="Arial"/>
                <w:sz w:val="20"/>
                <w:szCs w:val="20"/>
              </w:rPr>
              <w:t xml:space="preserve">Flat Rate </w:t>
            </w:r>
          </w:p>
        </w:tc>
        <w:tc>
          <w:tcPr>
            <w:tcW w:w="1106" w:type="dxa"/>
          </w:tcPr>
          <w:p w14:paraId="1CE741F3" w14:textId="3E4B3C4B" w:rsidR="006F2FAD" w:rsidRPr="00532632" w:rsidRDefault="006F2FAD"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jc w:val="right"/>
              <w:rPr>
                <w:rFonts w:ascii="Arial" w:hAnsi="Arial" w:cs="Arial"/>
                <w:sz w:val="20"/>
                <w:szCs w:val="20"/>
              </w:rPr>
            </w:pPr>
            <w:r w:rsidRPr="00532632">
              <w:rPr>
                <w:rFonts w:ascii="Arial" w:hAnsi="Arial" w:cs="Arial"/>
                <w:sz w:val="20"/>
                <w:szCs w:val="20"/>
              </w:rPr>
              <w:t>£777</w:t>
            </w:r>
          </w:p>
        </w:tc>
        <w:tc>
          <w:tcPr>
            <w:tcW w:w="5688" w:type="dxa"/>
            <w:vMerge/>
          </w:tcPr>
          <w:p w14:paraId="6ED9D0A1" w14:textId="77777777" w:rsidR="006F2FAD" w:rsidRPr="00532632" w:rsidRDefault="006F2FAD"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rPr>
                <w:rFonts w:ascii="Arial" w:hAnsi="Arial" w:cs="Arial"/>
              </w:rPr>
            </w:pPr>
          </w:p>
        </w:tc>
      </w:tr>
    </w:tbl>
    <w:p w14:paraId="77B6471E" w14:textId="47E1D72D" w:rsidR="00532632" w:rsidRPr="00532632" w:rsidRDefault="00532632" w:rsidP="00BA69B3">
      <w:pPr>
        <w:spacing w:after="160" w:line="259" w:lineRule="auto"/>
        <w:rPr>
          <w:rFonts w:ascii="Arial" w:hAnsi="Arial" w:cs="Arial"/>
          <w:bCs/>
          <w:lang w:val="en"/>
        </w:rPr>
      </w:pPr>
      <w:r w:rsidRPr="00532632">
        <w:rPr>
          <w:rFonts w:ascii="Arial" w:hAnsi="Arial" w:cs="Arial"/>
          <w:bCs/>
          <w:lang w:val="en"/>
        </w:rPr>
        <w:t>There is an existing dwelling being demolished and this will be taken into consideration when calculating the SRMS due.</w:t>
      </w:r>
    </w:p>
    <w:p w14:paraId="15B7E072" w14:textId="77777777" w:rsidR="00BA69B3" w:rsidRPr="005760C9" w:rsidRDefault="00BA69B3" w:rsidP="000E51C0">
      <w:pPr>
        <w:autoSpaceDE w:val="0"/>
        <w:autoSpaceDN w:val="0"/>
        <w:adjustRightInd w:val="0"/>
        <w:spacing w:after="0" w:line="240" w:lineRule="auto"/>
        <w:rPr>
          <w:rFonts w:ascii="Arial" w:hAnsi="Arial" w:cs="Arial"/>
        </w:rPr>
      </w:pPr>
    </w:p>
    <w:p w14:paraId="6FCFB98A" w14:textId="77777777" w:rsidR="00E27427" w:rsidRPr="005760C9" w:rsidRDefault="00E27427" w:rsidP="00E27427">
      <w:pPr>
        <w:autoSpaceDE w:val="0"/>
        <w:autoSpaceDN w:val="0"/>
        <w:adjustRightInd w:val="0"/>
        <w:spacing w:after="0" w:line="240" w:lineRule="auto"/>
        <w:rPr>
          <w:rFonts w:ascii="Arial" w:hAnsi="Arial" w:cs="Arial"/>
          <w:b/>
        </w:rPr>
      </w:pPr>
      <w:r w:rsidRPr="005760C9">
        <w:rPr>
          <w:rFonts w:ascii="Arial" w:hAnsi="Arial" w:cs="Arial"/>
          <w:b/>
        </w:rPr>
        <w:t>***Third Party Nutrient Mitigation Schemes</w:t>
      </w:r>
    </w:p>
    <w:p w14:paraId="2C23D904" w14:textId="77777777" w:rsidR="00E27427" w:rsidRPr="005760C9" w:rsidRDefault="00E27427" w:rsidP="00E27427">
      <w:pPr>
        <w:autoSpaceDE w:val="0"/>
        <w:autoSpaceDN w:val="0"/>
        <w:adjustRightInd w:val="0"/>
        <w:spacing w:after="0" w:line="240" w:lineRule="auto"/>
        <w:rPr>
          <w:rFonts w:ascii="Arial" w:hAnsi="Arial" w:cs="Arial"/>
          <w:b/>
        </w:rPr>
      </w:pPr>
    </w:p>
    <w:p w14:paraId="2DB22C36" w14:textId="0F0DD88C" w:rsidR="000E51C0" w:rsidRPr="005760C9" w:rsidRDefault="00E27427" w:rsidP="00E27427">
      <w:pPr>
        <w:autoSpaceDE w:val="0"/>
        <w:autoSpaceDN w:val="0"/>
        <w:adjustRightInd w:val="0"/>
        <w:spacing w:after="0" w:line="240" w:lineRule="auto"/>
        <w:rPr>
          <w:rFonts w:ascii="Arial" w:hAnsi="Arial" w:cs="Arial"/>
          <w:bCs/>
        </w:rPr>
      </w:pPr>
      <w:r w:rsidRPr="005760C9">
        <w:rPr>
          <w:rFonts w:ascii="Arial" w:hAnsi="Arial" w:cs="Arial"/>
          <w:bCs/>
        </w:rPr>
        <w:t>Havant Borough Council is responsible for ongoing monitoring of Third Party Nutrient Mitigation Schemes. When accepting mitigation from such schemes for example Warnford Park Estate, the Council will need to seek a payment from the applicant to contribute towards these costs. The amount payable will be 1% of the total overall kilogramme (kg) purchase cost. Where this is calculated to be less than £100, a minimum fee of £100 will be payable.</w:t>
      </w:r>
    </w:p>
    <w:sectPr w:rsidR="000E51C0" w:rsidRPr="005760C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53CC3" w14:textId="77777777" w:rsidR="00424E0A" w:rsidRDefault="00424E0A" w:rsidP="00424E0A">
      <w:pPr>
        <w:spacing w:after="0" w:line="240" w:lineRule="auto"/>
      </w:pPr>
      <w:r>
        <w:separator/>
      </w:r>
    </w:p>
  </w:endnote>
  <w:endnote w:type="continuationSeparator" w:id="0">
    <w:p w14:paraId="34ACB72D" w14:textId="77777777" w:rsidR="00424E0A" w:rsidRDefault="00424E0A" w:rsidP="00424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00"/>
    <w:family w:val="roman"/>
    <w:notTrueType/>
    <w:pitch w:val="default"/>
  </w:font>
  <w:font w:name="ArialMT">
    <w:altName w:val="Klee One"/>
    <w:panose1 w:val="00000000000000000000"/>
    <w:charset w:val="00"/>
    <w:family w:val="roman"/>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3309338"/>
      <w:docPartObj>
        <w:docPartGallery w:val="Page Numbers (Bottom of Page)"/>
        <w:docPartUnique/>
      </w:docPartObj>
    </w:sdtPr>
    <w:sdtEndPr>
      <w:rPr>
        <w:noProof/>
      </w:rPr>
    </w:sdtEndPr>
    <w:sdtContent>
      <w:p w14:paraId="4224614F" w14:textId="466F386B" w:rsidR="00424E0A" w:rsidRDefault="00424E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10C2CC" w14:textId="77777777" w:rsidR="00424E0A" w:rsidRDefault="00424E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EA065" w14:textId="77777777" w:rsidR="00424E0A" w:rsidRDefault="00424E0A" w:rsidP="00424E0A">
      <w:pPr>
        <w:spacing w:after="0" w:line="240" w:lineRule="auto"/>
      </w:pPr>
      <w:r>
        <w:separator/>
      </w:r>
    </w:p>
  </w:footnote>
  <w:footnote w:type="continuationSeparator" w:id="0">
    <w:p w14:paraId="166BDD10" w14:textId="77777777" w:rsidR="00424E0A" w:rsidRDefault="00424E0A" w:rsidP="00424E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368C3"/>
    <w:multiLevelType w:val="multilevel"/>
    <w:tmpl w:val="95648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833623"/>
    <w:multiLevelType w:val="multilevel"/>
    <w:tmpl w:val="1E0ADD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C34F21"/>
    <w:multiLevelType w:val="hybridMultilevel"/>
    <w:tmpl w:val="A8BEFC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6495AEF"/>
    <w:multiLevelType w:val="hybridMultilevel"/>
    <w:tmpl w:val="76CE45C4"/>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num w:numId="1" w16cid:durableId="398794215">
    <w:abstractNumId w:val="2"/>
  </w:num>
  <w:num w:numId="2" w16cid:durableId="375472451">
    <w:abstractNumId w:val="3"/>
  </w:num>
  <w:num w:numId="3" w16cid:durableId="2075619894">
    <w:abstractNumId w:val="0"/>
  </w:num>
  <w:num w:numId="4" w16cid:durableId="18375683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B17"/>
    <w:rsid w:val="00007F67"/>
    <w:rsid w:val="00036255"/>
    <w:rsid w:val="000470D0"/>
    <w:rsid w:val="0005296D"/>
    <w:rsid w:val="00087E9C"/>
    <w:rsid w:val="000B0EE3"/>
    <w:rsid w:val="000B198B"/>
    <w:rsid w:val="000E51C0"/>
    <w:rsid w:val="00124EFF"/>
    <w:rsid w:val="00131FFD"/>
    <w:rsid w:val="00146D6D"/>
    <w:rsid w:val="001544FE"/>
    <w:rsid w:val="00161466"/>
    <w:rsid w:val="001B2B6E"/>
    <w:rsid w:val="001C0A55"/>
    <w:rsid w:val="001C5CD9"/>
    <w:rsid w:val="001E440A"/>
    <w:rsid w:val="001F63C6"/>
    <w:rsid w:val="00203F2A"/>
    <w:rsid w:val="00242FF1"/>
    <w:rsid w:val="002832CC"/>
    <w:rsid w:val="00285AFB"/>
    <w:rsid w:val="002A1652"/>
    <w:rsid w:val="002A6D3D"/>
    <w:rsid w:val="002B579C"/>
    <w:rsid w:val="002E39E5"/>
    <w:rsid w:val="002E5550"/>
    <w:rsid w:val="00313624"/>
    <w:rsid w:val="00314489"/>
    <w:rsid w:val="003420A9"/>
    <w:rsid w:val="00347E0F"/>
    <w:rsid w:val="003A205A"/>
    <w:rsid w:val="003A3A79"/>
    <w:rsid w:val="003C6C6F"/>
    <w:rsid w:val="00424E0A"/>
    <w:rsid w:val="00446494"/>
    <w:rsid w:val="0046350F"/>
    <w:rsid w:val="00472E88"/>
    <w:rsid w:val="004829B0"/>
    <w:rsid w:val="0048469D"/>
    <w:rsid w:val="004B4167"/>
    <w:rsid w:val="005105C0"/>
    <w:rsid w:val="00532632"/>
    <w:rsid w:val="005760C9"/>
    <w:rsid w:val="00577B9E"/>
    <w:rsid w:val="005B56A3"/>
    <w:rsid w:val="005C34ED"/>
    <w:rsid w:val="005F79EA"/>
    <w:rsid w:val="00627420"/>
    <w:rsid w:val="0063574D"/>
    <w:rsid w:val="00647B13"/>
    <w:rsid w:val="006A3DFD"/>
    <w:rsid w:val="006A6818"/>
    <w:rsid w:val="006F2FAD"/>
    <w:rsid w:val="00711938"/>
    <w:rsid w:val="00726663"/>
    <w:rsid w:val="00727636"/>
    <w:rsid w:val="00784F33"/>
    <w:rsid w:val="00791DE2"/>
    <w:rsid w:val="007B1797"/>
    <w:rsid w:val="007F0B17"/>
    <w:rsid w:val="00812CB0"/>
    <w:rsid w:val="00852957"/>
    <w:rsid w:val="008A4058"/>
    <w:rsid w:val="008C6592"/>
    <w:rsid w:val="008C6620"/>
    <w:rsid w:val="008C6D1F"/>
    <w:rsid w:val="008D0653"/>
    <w:rsid w:val="008D1DF8"/>
    <w:rsid w:val="008E4FEE"/>
    <w:rsid w:val="008F033F"/>
    <w:rsid w:val="009A3A02"/>
    <w:rsid w:val="009E6494"/>
    <w:rsid w:val="00A22A56"/>
    <w:rsid w:val="00A258EB"/>
    <w:rsid w:val="00A328B9"/>
    <w:rsid w:val="00A51637"/>
    <w:rsid w:val="00A947CB"/>
    <w:rsid w:val="00AB77F8"/>
    <w:rsid w:val="00AC3E43"/>
    <w:rsid w:val="00AD45DB"/>
    <w:rsid w:val="00AF57BE"/>
    <w:rsid w:val="00B01433"/>
    <w:rsid w:val="00B0721C"/>
    <w:rsid w:val="00B35C8A"/>
    <w:rsid w:val="00B4067F"/>
    <w:rsid w:val="00B547F9"/>
    <w:rsid w:val="00B9611C"/>
    <w:rsid w:val="00BA69B3"/>
    <w:rsid w:val="00BF0640"/>
    <w:rsid w:val="00C05A0A"/>
    <w:rsid w:val="00C14BFC"/>
    <w:rsid w:val="00C6557A"/>
    <w:rsid w:val="00C92149"/>
    <w:rsid w:val="00CA54E0"/>
    <w:rsid w:val="00CE0900"/>
    <w:rsid w:val="00CF072B"/>
    <w:rsid w:val="00CF7E4A"/>
    <w:rsid w:val="00D643AE"/>
    <w:rsid w:val="00D70FEF"/>
    <w:rsid w:val="00D87C30"/>
    <w:rsid w:val="00DD7F07"/>
    <w:rsid w:val="00DE236E"/>
    <w:rsid w:val="00DE2EA2"/>
    <w:rsid w:val="00E02F42"/>
    <w:rsid w:val="00E27427"/>
    <w:rsid w:val="00E533D9"/>
    <w:rsid w:val="00E76B57"/>
    <w:rsid w:val="00EC058A"/>
    <w:rsid w:val="00EE057E"/>
    <w:rsid w:val="00EE1B05"/>
    <w:rsid w:val="00F04F5F"/>
    <w:rsid w:val="00F21E15"/>
    <w:rsid w:val="00F4604C"/>
    <w:rsid w:val="00F96359"/>
    <w:rsid w:val="00FA6226"/>
    <w:rsid w:val="00FC3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41129"/>
  <w15:chartTrackingRefBased/>
  <w15:docId w15:val="{4450E3BD-E410-43CD-A719-0BCBB2C0B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E4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3E43"/>
    <w:rPr>
      <w:color w:val="0563C1" w:themeColor="hyperlink"/>
      <w:u w:val="single"/>
    </w:rPr>
  </w:style>
  <w:style w:type="paragraph" w:styleId="ListParagraph">
    <w:name w:val="List Paragraph"/>
    <w:basedOn w:val="Normal"/>
    <w:uiPriority w:val="34"/>
    <w:qFormat/>
    <w:rsid w:val="00AC3E43"/>
    <w:pPr>
      <w:ind w:left="720"/>
      <w:contextualSpacing/>
    </w:pPr>
  </w:style>
  <w:style w:type="character" w:customStyle="1" w:styleId="casenumber">
    <w:name w:val="casenumber"/>
    <w:basedOn w:val="DefaultParagraphFont"/>
    <w:rsid w:val="00AC3E43"/>
  </w:style>
  <w:style w:type="table" w:styleId="TableGrid">
    <w:name w:val="Table Grid"/>
    <w:basedOn w:val="TableNormal"/>
    <w:uiPriority w:val="59"/>
    <w:rsid w:val="00AC3E43"/>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rsid w:val="00AC3E43"/>
    <w:pPr>
      <w:autoSpaceDE w:val="0"/>
      <w:autoSpaceDN w:val="0"/>
      <w:adjustRightInd w:val="0"/>
      <w:spacing w:after="0" w:line="240" w:lineRule="auto"/>
    </w:pPr>
    <w:rPr>
      <w:rFonts w:ascii="Arial" w:hAnsi="Arial" w:cs="Arial"/>
      <w:sz w:val="24"/>
      <w:szCs w:val="24"/>
    </w:rPr>
  </w:style>
  <w:style w:type="character" w:customStyle="1" w:styleId="fontstyle01">
    <w:name w:val="fontstyle01"/>
    <w:basedOn w:val="DefaultParagraphFont"/>
    <w:rsid w:val="00AC3E43"/>
    <w:rPr>
      <w:rFonts w:ascii="Arial-BoldMT" w:hAnsi="Arial-BoldMT" w:hint="default"/>
      <w:b/>
      <w:bCs/>
      <w:i w:val="0"/>
      <w:iCs w:val="0"/>
      <w:color w:val="000000"/>
      <w:sz w:val="22"/>
      <w:szCs w:val="22"/>
    </w:rPr>
  </w:style>
  <w:style w:type="character" w:customStyle="1" w:styleId="fontstyle21">
    <w:name w:val="fontstyle21"/>
    <w:basedOn w:val="DefaultParagraphFont"/>
    <w:rsid w:val="00AC3E43"/>
    <w:rPr>
      <w:rFonts w:ascii="ArialMT" w:hAnsi="ArialMT" w:hint="default"/>
      <w:b w:val="0"/>
      <w:bCs w:val="0"/>
      <w:i w:val="0"/>
      <w:iCs w:val="0"/>
      <w:color w:val="000000"/>
      <w:sz w:val="22"/>
      <w:szCs w:val="22"/>
    </w:rPr>
  </w:style>
  <w:style w:type="character" w:styleId="FollowedHyperlink">
    <w:name w:val="FollowedHyperlink"/>
    <w:basedOn w:val="DefaultParagraphFont"/>
    <w:uiPriority w:val="99"/>
    <w:semiHidden/>
    <w:unhideWhenUsed/>
    <w:rsid w:val="00B35C8A"/>
    <w:rPr>
      <w:color w:val="954F72" w:themeColor="followedHyperlink"/>
      <w:u w:val="single"/>
    </w:rPr>
  </w:style>
  <w:style w:type="character" w:styleId="Strong">
    <w:name w:val="Strong"/>
    <w:basedOn w:val="DefaultParagraphFont"/>
    <w:uiPriority w:val="22"/>
    <w:qFormat/>
    <w:rsid w:val="00F21E15"/>
    <w:rPr>
      <w:b/>
      <w:bCs/>
    </w:rPr>
  </w:style>
  <w:style w:type="character" w:styleId="UnresolvedMention">
    <w:name w:val="Unresolved Mention"/>
    <w:basedOn w:val="DefaultParagraphFont"/>
    <w:uiPriority w:val="99"/>
    <w:semiHidden/>
    <w:unhideWhenUsed/>
    <w:rsid w:val="00146D6D"/>
    <w:rPr>
      <w:color w:val="808080"/>
      <w:shd w:val="clear" w:color="auto" w:fill="E6E6E6"/>
    </w:rPr>
  </w:style>
  <w:style w:type="paragraph" w:styleId="NormalWeb">
    <w:name w:val="Normal (Web)"/>
    <w:basedOn w:val="Normal"/>
    <w:uiPriority w:val="99"/>
    <w:unhideWhenUsed/>
    <w:rsid w:val="001B2B6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424E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4E0A"/>
  </w:style>
  <w:style w:type="paragraph" w:styleId="Footer">
    <w:name w:val="footer"/>
    <w:basedOn w:val="Normal"/>
    <w:link w:val="FooterChar"/>
    <w:uiPriority w:val="99"/>
    <w:unhideWhenUsed/>
    <w:rsid w:val="00424E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4E0A"/>
  </w:style>
  <w:style w:type="character" w:styleId="CommentReference">
    <w:name w:val="annotation reference"/>
    <w:basedOn w:val="DefaultParagraphFont"/>
    <w:uiPriority w:val="99"/>
    <w:semiHidden/>
    <w:unhideWhenUsed/>
    <w:rsid w:val="0063574D"/>
    <w:rPr>
      <w:sz w:val="16"/>
      <w:szCs w:val="16"/>
    </w:rPr>
  </w:style>
  <w:style w:type="paragraph" w:styleId="CommentText">
    <w:name w:val="annotation text"/>
    <w:basedOn w:val="Normal"/>
    <w:link w:val="CommentTextChar"/>
    <w:uiPriority w:val="99"/>
    <w:unhideWhenUsed/>
    <w:rsid w:val="0063574D"/>
    <w:pPr>
      <w:spacing w:line="240" w:lineRule="auto"/>
    </w:pPr>
    <w:rPr>
      <w:sz w:val="20"/>
      <w:szCs w:val="20"/>
    </w:rPr>
  </w:style>
  <w:style w:type="character" w:customStyle="1" w:styleId="CommentTextChar">
    <w:name w:val="Comment Text Char"/>
    <w:basedOn w:val="DefaultParagraphFont"/>
    <w:link w:val="CommentText"/>
    <w:uiPriority w:val="99"/>
    <w:rsid w:val="0063574D"/>
    <w:rPr>
      <w:sz w:val="20"/>
      <w:szCs w:val="20"/>
    </w:rPr>
  </w:style>
  <w:style w:type="paragraph" w:styleId="CommentSubject">
    <w:name w:val="annotation subject"/>
    <w:basedOn w:val="CommentText"/>
    <w:next w:val="CommentText"/>
    <w:link w:val="CommentSubjectChar"/>
    <w:uiPriority w:val="99"/>
    <w:semiHidden/>
    <w:unhideWhenUsed/>
    <w:rsid w:val="0063574D"/>
    <w:rPr>
      <w:b/>
      <w:bCs/>
    </w:rPr>
  </w:style>
  <w:style w:type="character" w:customStyle="1" w:styleId="CommentSubjectChar">
    <w:name w:val="Comment Subject Char"/>
    <w:basedOn w:val="CommentTextChar"/>
    <w:link w:val="CommentSubject"/>
    <w:uiPriority w:val="99"/>
    <w:semiHidden/>
    <w:rsid w:val="0063574D"/>
    <w:rPr>
      <w:b/>
      <w:bCs/>
      <w:sz w:val="20"/>
      <w:szCs w:val="20"/>
    </w:rPr>
  </w:style>
  <w:style w:type="paragraph" w:styleId="Revision">
    <w:name w:val="Revision"/>
    <w:hidden/>
    <w:uiPriority w:val="99"/>
    <w:semiHidden/>
    <w:rsid w:val="001E44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386247">
      <w:bodyDiv w:val="1"/>
      <w:marLeft w:val="0"/>
      <w:marRight w:val="0"/>
      <w:marTop w:val="0"/>
      <w:marBottom w:val="0"/>
      <w:divBdr>
        <w:top w:val="none" w:sz="0" w:space="0" w:color="auto"/>
        <w:left w:val="none" w:sz="0" w:space="0" w:color="auto"/>
        <w:bottom w:val="none" w:sz="0" w:space="0" w:color="auto"/>
        <w:right w:val="none" w:sz="0" w:space="0" w:color="auto"/>
      </w:divBdr>
      <w:divsChild>
        <w:div w:id="1717192116">
          <w:marLeft w:val="0"/>
          <w:marRight w:val="0"/>
          <w:marTop w:val="0"/>
          <w:marBottom w:val="0"/>
          <w:divBdr>
            <w:top w:val="none" w:sz="0" w:space="0" w:color="auto"/>
            <w:left w:val="none" w:sz="0" w:space="0" w:color="auto"/>
            <w:bottom w:val="none" w:sz="0" w:space="0" w:color="auto"/>
            <w:right w:val="none" w:sz="0" w:space="0" w:color="auto"/>
          </w:divBdr>
          <w:divsChild>
            <w:div w:id="383063611">
              <w:marLeft w:val="0"/>
              <w:marRight w:val="0"/>
              <w:marTop w:val="0"/>
              <w:marBottom w:val="0"/>
              <w:divBdr>
                <w:top w:val="none" w:sz="0" w:space="0" w:color="auto"/>
                <w:left w:val="none" w:sz="0" w:space="0" w:color="auto"/>
                <w:bottom w:val="none" w:sz="0" w:space="0" w:color="auto"/>
                <w:right w:val="none" w:sz="0" w:space="0" w:color="auto"/>
              </w:divBdr>
              <w:divsChild>
                <w:div w:id="347801908">
                  <w:marLeft w:val="0"/>
                  <w:marRight w:val="0"/>
                  <w:marTop w:val="0"/>
                  <w:marBottom w:val="0"/>
                  <w:divBdr>
                    <w:top w:val="none" w:sz="0" w:space="0" w:color="auto"/>
                    <w:left w:val="none" w:sz="0" w:space="0" w:color="auto"/>
                    <w:bottom w:val="none" w:sz="0" w:space="0" w:color="auto"/>
                    <w:right w:val="none" w:sz="0" w:space="0" w:color="auto"/>
                  </w:divBdr>
                  <w:divsChild>
                    <w:div w:id="1716737147">
                      <w:marLeft w:val="0"/>
                      <w:marRight w:val="0"/>
                      <w:marTop w:val="0"/>
                      <w:marBottom w:val="0"/>
                      <w:divBdr>
                        <w:top w:val="none" w:sz="0" w:space="0" w:color="auto"/>
                        <w:left w:val="none" w:sz="0" w:space="0" w:color="auto"/>
                        <w:bottom w:val="none" w:sz="0" w:space="0" w:color="auto"/>
                        <w:right w:val="none" w:sz="0" w:space="0" w:color="auto"/>
                      </w:divBdr>
                      <w:divsChild>
                        <w:div w:id="431245273">
                          <w:marLeft w:val="0"/>
                          <w:marRight w:val="0"/>
                          <w:marTop w:val="0"/>
                          <w:marBottom w:val="0"/>
                          <w:divBdr>
                            <w:top w:val="none" w:sz="0" w:space="0" w:color="auto"/>
                            <w:left w:val="none" w:sz="0" w:space="0" w:color="auto"/>
                            <w:bottom w:val="none" w:sz="0" w:space="0" w:color="auto"/>
                            <w:right w:val="none" w:sz="0" w:space="0" w:color="auto"/>
                          </w:divBdr>
                          <w:divsChild>
                            <w:div w:id="1358702068">
                              <w:marLeft w:val="0"/>
                              <w:marRight w:val="0"/>
                              <w:marTop w:val="0"/>
                              <w:marBottom w:val="0"/>
                              <w:divBdr>
                                <w:top w:val="none" w:sz="0" w:space="0" w:color="auto"/>
                                <w:left w:val="none" w:sz="0" w:space="0" w:color="auto"/>
                                <w:bottom w:val="none" w:sz="0" w:space="0" w:color="auto"/>
                                <w:right w:val="none" w:sz="0" w:space="0" w:color="auto"/>
                              </w:divBdr>
                              <w:divsChild>
                                <w:div w:id="1425149278">
                                  <w:marLeft w:val="0"/>
                                  <w:marRight w:val="0"/>
                                  <w:marTop w:val="0"/>
                                  <w:marBottom w:val="0"/>
                                  <w:divBdr>
                                    <w:top w:val="none" w:sz="0" w:space="0" w:color="auto"/>
                                    <w:left w:val="none" w:sz="0" w:space="0" w:color="auto"/>
                                    <w:bottom w:val="none" w:sz="0" w:space="0" w:color="auto"/>
                                    <w:right w:val="none" w:sz="0" w:space="0" w:color="auto"/>
                                  </w:divBdr>
                                  <w:divsChild>
                                    <w:div w:id="1174800070">
                                      <w:marLeft w:val="0"/>
                                      <w:marRight w:val="0"/>
                                      <w:marTop w:val="0"/>
                                      <w:marBottom w:val="0"/>
                                      <w:divBdr>
                                        <w:top w:val="none" w:sz="0" w:space="0" w:color="auto"/>
                                        <w:left w:val="none" w:sz="0" w:space="0" w:color="auto"/>
                                        <w:bottom w:val="none" w:sz="0" w:space="0" w:color="auto"/>
                                        <w:right w:val="none" w:sz="0" w:space="0" w:color="auto"/>
                                      </w:divBdr>
                                      <w:divsChild>
                                        <w:div w:id="54669958">
                                          <w:marLeft w:val="0"/>
                                          <w:marRight w:val="0"/>
                                          <w:marTop w:val="0"/>
                                          <w:marBottom w:val="0"/>
                                          <w:divBdr>
                                            <w:top w:val="none" w:sz="0" w:space="0" w:color="auto"/>
                                            <w:left w:val="none" w:sz="0" w:space="0" w:color="auto"/>
                                            <w:bottom w:val="none" w:sz="0" w:space="0" w:color="auto"/>
                                            <w:right w:val="none" w:sz="0" w:space="0" w:color="auto"/>
                                          </w:divBdr>
                                          <w:divsChild>
                                            <w:div w:id="1614365891">
                                              <w:marLeft w:val="0"/>
                                              <w:marRight w:val="0"/>
                                              <w:marTop w:val="0"/>
                                              <w:marBottom w:val="0"/>
                                              <w:divBdr>
                                                <w:top w:val="none" w:sz="0" w:space="0" w:color="auto"/>
                                                <w:left w:val="none" w:sz="0" w:space="0" w:color="auto"/>
                                                <w:bottom w:val="none" w:sz="0" w:space="0" w:color="auto"/>
                                                <w:right w:val="none" w:sz="0" w:space="0" w:color="auto"/>
                                              </w:divBdr>
                                              <w:divsChild>
                                                <w:div w:id="93211209">
                                                  <w:marLeft w:val="0"/>
                                                  <w:marRight w:val="0"/>
                                                  <w:marTop w:val="0"/>
                                                  <w:marBottom w:val="0"/>
                                                  <w:divBdr>
                                                    <w:top w:val="none" w:sz="0" w:space="0" w:color="auto"/>
                                                    <w:left w:val="none" w:sz="0" w:space="0" w:color="auto"/>
                                                    <w:bottom w:val="none" w:sz="0" w:space="0" w:color="auto"/>
                                                    <w:right w:val="none" w:sz="0" w:space="0" w:color="auto"/>
                                                  </w:divBdr>
                                                  <w:divsChild>
                                                    <w:div w:id="386533837">
                                                      <w:marLeft w:val="0"/>
                                                      <w:marRight w:val="0"/>
                                                      <w:marTop w:val="0"/>
                                                      <w:marBottom w:val="0"/>
                                                      <w:divBdr>
                                                        <w:top w:val="none" w:sz="0" w:space="0" w:color="auto"/>
                                                        <w:left w:val="none" w:sz="0" w:space="0" w:color="auto"/>
                                                        <w:bottom w:val="none" w:sz="0" w:space="0" w:color="auto"/>
                                                        <w:right w:val="none" w:sz="0" w:space="0" w:color="auto"/>
                                                      </w:divBdr>
                                                      <w:divsChild>
                                                        <w:div w:id="695430329">
                                                          <w:marLeft w:val="0"/>
                                                          <w:marRight w:val="0"/>
                                                          <w:marTop w:val="0"/>
                                                          <w:marBottom w:val="0"/>
                                                          <w:divBdr>
                                                            <w:top w:val="none" w:sz="0" w:space="0" w:color="auto"/>
                                                            <w:left w:val="none" w:sz="0" w:space="0" w:color="auto"/>
                                                            <w:bottom w:val="none" w:sz="0" w:space="0" w:color="auto"/>
                                                            <w:right w:val="none" w:sz="0" w:space="0" w:color="auto"/>
                                                          </w:divBdr>
                                                          <w:divsChild>
                                                            <w:div w:id="167441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36169027">
      <w:bodyDiv w:val="1"/>
      <w:marLeft w:val="0"/>
      <w:marRight w:val="0"/>
      <w:marTop w:val="0"/>
      <w:marBottom w:val="0"/>
      <w:divBdr>
        <w:top w:val="none" w:sz="0" w:space="0" w:color="auto"/>
        <w:left w:val="none" w:sz="0" w:space="0" w:color="auto"/>
        <w:bottom w:val="none" w:sz="0" w:space="0" w:color="auto"/>
        <w:right w:val="none" w:sz="0" w:space="0" w:color="auto"/>
      </w:divBdr>
    </w:div>
    <w:div w:id="776340058">
      <w:bodyDiv w:val="1"/>
      <w:marLeft w:val="0"/>
      <w:marRight w:val="0"/>
      <w:marTop w:val="0"/>
      <w:marBottom w:val="0"/>
      <w:divBdr>
        <w:top w:val="none" w:sz="0" w:space="0" w:color="auto"/>
        <w:left w:val="none" w:sz="0" w:space="0" w:color="auto"/>
        <w:bottom w:val="none" w:sz="0" w:space="0" w:color="auto"/>
        <w:right w:val="none" w:sz="0" w:space="0" w:color="auto"/>
      </w:divBdr>
    </w:div>
    <w:div w:id="1282415160">
      <w:bodyDiv w:val="1"/>
      <w:marLeft w:val="0"/>
      <w:marRight w:val="0"/>
      <w:marTop w:val="0"/>
      <w:marBottom w:val="0"/>
      <w:divBdr>
        <w:top w:val="none" w:sz="0" w:space="0" w:color="auto"/>
        <w:left w:val="none" w:sz="0" w:space="0" w:color="auto"/>
        <w:bottom w:val="none" w:sz="0" w:space="0" w:color="auto"/>
        <w:right w:val="none" w:sz="0" w:space="0" w:color="auto"/>
      </w:divBdr>
    </w:div>
    <w:div w:id="1795560085">
      <w:bodyDiv w:val="1"/>
      <w:marLeft w:val="0"/>
      <w:marRight w:val="0"/>
      <w:marTop w:val="0"/>
      <w:marBottom w:val="0"/>
      <w:divBdr>
        <w:top w:val="none" w:sz="0" w:space="0" w:color="auto"/>
        <w:left w:val="none" w:sz="0" w:space="0" w:color="auto"/>
        <w:bottom w:val="none" w:sz="0" w:space="0" w:color="auto"/>
        <w:right w:val="none" w:sz="0" w:space="0" w:color="auto"/>
      </w:divBdr>
    </w:div>
    <w:div w:id="1862890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vant.gov.uk/community-infrastructure-levy" TargetMode="External"/><Relationship Id="rId3" Type="http://schemas.openxmlformats.org/officeDocument/2006/relationships/settings" Target="settings.xml"/><Relationship Id="rId7" Type="http://schemas.openxmlformats.org/officeDocument/2006/relationships/hyperlink" Target="http://www.havant.gov.uk/sites/default/files/documents/HBC%20CIL%20Charging%20Schedule%20Full%20Document%20Feb%202013.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havant.gov.uk/unilateral-undertaking-solent-recreation-mitigation-strate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2</Pages>
  <Words>578</Words>
  <Characters>3299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Weaver, Louise</dc:creator>
  <cp:keywords/>
  <dc:description/>
  <cp:lastModifiedBy>Weaver, Louise</cp:lastModifiedBy>
  <cp:revision>13</cp:revision>
  <dcterms:created xsi:type="dcterms:W3CDTF">2025-01-07T09:51:00Z</dcterms:created>
  <dcterms:modified xsi:type="dcterms:W3CDTF">2025-01-08T12:36:00Z</dcterms:modified>
</cp:coreProperties>
</file>