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1405E573" w:rsidR="00F91FE6" w:rsidRPr="009327D6" w:rsidRDefault="00F91FE6" w:rsidP="00852456">
      <w:pPr>
        <w:jc w:val="both"/>
        <w:rPr>
          <w:rFonts w:cstheme="minorHAnsi"/>
          <w:b/>
          <w:u w:val="single"/>
        </w:rPr>
      </w:pPr>
      <w:r w:rsidRPr="009327D6">
        <w:rPr>
          <w:rFonts w:cstheme="minorHAnsi"/>
          <w:b/>
          <w:u w:val="single"/>
        </w:rPr>
        <w:t xml:space="preserve">Date – </w:t>
      </w:r>
      <w:r w:rsidR="0092236B">
        <w:rPr>
          <w:rFonts w:cstheme="minorHAnsi"/>
          <w:b/>
          <w:u w:val="single"/>
        </w:rPr>
        <w:t>31/7</w:t>
      </w:r>
      <w:r w:rsidR="00A02E84">
        <w:rPr>
          <w:rFonts w:cstheme="minorHAnsi"/>
          <w:b/>
          <w:u w:val="single"/>
        </w:rPr>
        <w:t>/2024</w:t>
      </w:r>
    </w:p>
    <w:p w14:paraId="53855C3A" w14:textId="4844CE20" w:rsidR="00852456" w:rsidRPr="0095239C" w:rsidRDefault="00F86F4B" w:rsidP="00852456">
      <w:pPr>
        <w:jc w:val="both"/>
        <w:rPr>
          <w:rFonts w:cstheme="minorHAnsi"/>
          <w:b/>
          <w:i/>
          <w:iCs/>
          <w:u w:val="single"/>
        </w:rPr>
      </w:pPr>
      <w:r>
        <w:rPr>
          <w:rFonts w:cstheme="minorHAnsi"/>
          <w:b/>
          <w:u w:val="single"/>
        </w:rPr>
        <w:t>APP/23</w:t>
      </w:r>
      <w:r w:rsidR="00272FC3">
        <w:rPr>
          <w:rFonts w:cstheme="minorHAnsi"/>
          <w:b/>
          <w:u w:val="single"/>
        </w:rPr>
        <w:t>/</w:t>
      </w:r>
      <w:r w:rsidR="00463D6A">
        <w:rPr>
          <w:rFonts w:cstheme="minorHAnsi"/>
          <w:b/>
          <w:u w:val="single"/>
        </w:rPr>
        <w:t>00</w:t>
      </w:r>
      <w:r w:rsidR="00395DD0">
        <w:rPr>
          <w:rFonts w:cstheme="minorHAnsi"/>
          <w:b/>
          <w:u w:val="single"/>
        </w:rPr>
        <w:t>8</w:t>
      </w:r>
      <w:r w:rsidR="00375278">
        <w:rPr>
          <w:rFonts w:cstheme="minorHAnsi"/>
          <w:b/>
          <w:u w:val="single"/>
        </w:rPr>
        <w:t>51</w:t>
      </w:r>
      <w:r w:rsidR="0092236B">
        <w:rPr>
          <w:rFonts w:cstheme="minorHAnsi"/>
          <w:b/>
          <w:u w:val="single"/>
        </w:rPr>
        <w:t xml:space="preserve"> and APP/23/00852</w:t>
      </w:r>
    </w:p>
    <w:p w14:paraId="350F6DC5" w14:textId="6BC04B24" w:rsidR="00B971B9" w:rsidRDefault="00B971B9" w:rsidP="00852456">
      <w:pPr>
        <w:jc w:val="both"/>
        <w:rPr>
          <w:rFonts w:cstheme="minorHAnsi"/>
          <w:b/>
          <w:u w:val="single"/>
        </w:rPr>
      </w:pPr>
      <w:r>
        <w:rPr>
          <w:rFonts w:cstheme="minorHAnsi"/>
          <w:b/>
          <w:u w:val="single"/>
        </w:rPr>
        <w:t xml:space="preserve">Application site </w:t>
      </w:r>
      <w:r w:rsidR="00BB7AEB">
        <w:rPr>
          <w:rFonts w:cstheme="minorHAnsi"/>
          <w:b/>
          <w:u w:val="single"/>
        </w:rPr>
        <w:t>–</w:t>
      </w:r>
      <w:r>
        <w:rPr>
          <w:rFonts w:cstheme="minorHAnsi"/>
          <w:b/>
          <w:u w:val="single"/>
        </w:rPr>
        <w:t xml:space="preserve"> </w:t>
      </w:r>
      <w:r w:rsidR="00375278">
        <w:rPr>
          <w:rFonts w:cstheme="minorHAnsi"/>
          <w:b/>
          <w:u w:val="single"/>
        </w:rPr>
        <w:t>The Golden Slots, 1 East Street, Havant</w:t>
      </w:r>
    </w:p>
    <w:p w14:paraId="13E49627" w14:textId="51596DC5" w:rsidR="00A02E84" w:rsidRDefault="00A02E84" w:rsidP="00852456">
      <w:pPr>
        <w:jc w:val="both"/>
        <w:rPr>
          <w:rFonts w:cstheme="minorHAnsi"/>
          <w:b/>
          <w:u w:val="single"/>
        </w:rPr>
      </w:pPr>
      <w:r>
        <w:rPr>
          <w:rFonts w:cstheme="minorHAnsi"/>
          <w:b/>
          <w:u w:val="single"/>
        </w:rPr>
        <w:t xml:space="preserve">FURTHER RESPONSE </w:t>
      </w:r>
      <w:r w:rsidR="0092236B">
        <w:rPr>
          <w:rFonts w:cstheme="minorHAnsi"/>
          <w:b/>
          <w:u w:val="single"/>
        </w:rPr>
        <w:t>FOLLOWING FURTHER RESPONSE ON 18/6/24 AND O</w:t>
      </w:r>
      <w:r>
        <w:rPr>
          <w:rFonts w:cstheme="minorHAnsi"/>
          <w:b/>
          <w:u w:val="single"/>
        </w:rPr>
        <w:t>R</w:t>
      </w:r>
      <w:r w:rsidR="004B1D0F">
        <w:rPr>
          <w:rFonts w:cstheme="minorHAnsi"/>
          <w:b/>
          <w:u w:val="single"/>
        </w:rPr>
        <w:t>I</w:t>
      </w:r>
      <w:r>
        <w:rPr>
          <w:rFonts w:cstheme="minorHAnsi"/>
          <w:b/>
          <w:u w:val="single"/>
        </w:rPr>
        <w:t xml:space="preserve">GINAL RESPONSE ON 21/2/24) FOLLOWING THE SUBMISSION OF AMENDED PLANS / ADDITIONAL DETAILS </w:t>
      </w:r>
    </w:p>
    <w:p w14:paraId="321D7ACC" w14:textId="77777777" w:rsidR="00525F1C" w:rsidRDefault="0092236B" w:rsidP="00A02E84">
      <w:pPr>
        <w:autoSpaceDE w:val="0"/>
        <w:autoSpaceDN w:val="0"/>
        <w:adjustRightInd w:val="0"/>
        <w:spacing w:after="0" w:line="240" w:lineRule="auto"/>
        <w:jc w:val="both"/>
        <w:rPr>
          <w:rFonts w:cs="Arial"/>
          <w:bCs/>
        </w:rPr>
      </w:pPr>
      <w:r>
        <w:rPr>
          <w:rFonts w:cs="Arial"/>
          <w:bCs/>
        </w:rPr>
        <w:t>Since the previous response (18/6/24), further details have been submitted</w:t>
      </w:r>
      <w:r w:rsidR="00525F1C">
        <w:rPr>
          <w:rFonts w:cs="Arial"/>
          <w:bCs/>
        </w:rPr>
        <w:t xml:space="preserve"> including: </w:t>
      </w:r>
    </w:p>
    <w:p w14:paraId="0ECD9C6B" w14:textId="77777777" w:rsidR="00525F1C" w:rsidRDefault="00525F1C" w:rsidP="00A02E84">
      <w:pPr>
        <w:autoSpaceDE w:val="0"/>
        <w:autoSpaceDN w:val="0"/>
        <w:adjustRightInd w:val="0"/>
        <w:spacing w:after="0" w:line="240" w:lineRule="auto"/>
        <w:jc w:val="both"/>
        <w:rPr>
          <w:rFonts w:cs="Arial"/>
          <w:bCs/>
        </w:rPr>
      </w:pPr>
    </w:p>
    <w:p w14:paraId="470AC3DB" w14:textId="62F23D9F" w:rsidR="009D3585" w:rsidRDefault="00525F1C" w:rsidP="00525F1C">
      <w:pPr>
        <w:pStyle w:val="ListParagraph"/>
        <w:numPr>
          <w:ilvl w:val="0"/>
          <w:numId w:val="18"/>
        </w:numPr>
        <w:autoSpaceDE w:val="0"/>
        <w:autoSpaceDN w:val="0"/>
        <w:adjustRightInd w:val="0"/>
        <w:spacing w:after="0" w:line="240" w:lineRule="auto"/>
        <w:jc w:val="both"/>
        <w:rPr>
          <w:rFonts w:cs="Arial"/>
          <w:bCs/>
        </w:rPr>
      </w:pPr>
      <w:r>
        <w:rPr>
          <w:rFonts w:cs="Arial"/>
          <w:bCs/>
        </w:rPr>
        <w:t xml:space="preserve">Secondary glazing details </w:t>
      </w:r>
    </w:p>
    <w:p w14:paraId="740EFBBA" w14:textId="1F11DABF" w:rsidR="00525F1C" w:rsidRPr="00525F1C" w:rsidRDefault="00525F1C" w:rsidP="00525F1C">
      <w:pPr>
        <w:pStyle w:val="ListParagraph"/>
        <w:numPr>
          <w:ilvl w:val="0"/>
          <w:numId w:val="18"/>
        </w:numPr>
        <w:autoSpaceDE w:val="0"/>
        <w:autoSpaceDN w:val="0"/>
        <w:adjustRightInd w:val="0"/>
        <w:spacing w:after="0" w:line="240" w:lineRule="auto"/>
        <w:jc w:val="both"/>
        <w:rPr>
          <w:rFonts w:cs="Arial"/>
          <w:bCs/>
        </w:rPr>
      </w:pPr>
      <w:r>
        <w:rPr>
          <w:rFonts w:cs="Arial"/>
          <w:bCs/>
        </w:rPr>
        <w:t xml:space="preserve">Retention of window / door architraves </w:t>
      </w:r>
      <w:r w:rsidR="003A3AC7">
        <w:rPr>
          <w:rFonts w:cs="Arial"/>
          <w:bCs/>
        </w:rPr>
        <w:t xml:space="preserve">in connection with the secondary glazing. </w:t>
      </w:r>
    </w:p>
    <w:p w14:paraId="7F6F98DD" w14:textId="77777777" w:rsidR="00E171C6" w:rsidRDefault="00E171C6" w:rsidP="00A02E84">
      <w:pPr>
        <w:pStyle w:val="Default"/>
        <w:jc w:val="both"/>
        <w:rPr>
          <w:rFonts w:asciiTheme="minorHAnsi" w:hAnsiTheme="minorHAnsi" w:cstheme="minorHAnsi"/>
          <w:sz w:val="22"/>
          <w:szCs w:val="22"/>
        </w:rPr>
      </w:pPr>
    </w:p>
    <w:p w14:paraId="330C49D7" w14:textId="0A93F71B" w:rsidR="00545376" w:rsidRDefault="003A3AC7" w:rsidP="00A02E84">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secondary glazing details provided are deemed to be acceptable in that they would not result in harm to the hertiage asset as the existing windows and internal architraves will be retained and the design of the glazing will not detract from the significance of the building. Further details are still outstanding including a method statement for the external repair of the ground floor, front facades and external materials required for the new building at the rear, however these can be secured and agreed at condition stage. </w:t>
      </w:r>
    </w:p>
    <w:p w14:paraId="43E3739A" w14:textId="77777777" w:rsidR="003A3AC7" w:rsidRDefault="003A3AC7" w:rsidP="00A02E84">
      <w:pPr>
        <w:pStyle w:val="Default"/>
        <w:jc w:val="both"/>
        <w:rPr>
          <w:rFonts w:asciiTheme="minorHAnsi" w:hAnsiTheme="minorHAnsi" w:cstheme="minorHAnsi"/>
          <w:sz w:val="22"/>
          <w:szCs w:val="22"/>
        </w:rPr>
      </w:pPr>
    </w:p>
    <w:p w14:paraId="37274689" w14:textId="0CD331D2" w:rsidR="00D2100D" w:rsidRPr="00DE1009" w:rsidRDefault="00D2100D" w:rsidP="00A02E84">
      <w:pPr>
        <w:pStyle w:val="Default"/>
        <w:jc w:val="both"/>
        <w:rPr>
          <w:rFonts w:asciiTheme="minorHAnsi" w:hAnsiTheme="minorHAnsi" w:cstheme="minorHAnsi"/>
          <w:sz w:val="22"/>
          <w:szCs w:val="22"/>
          <w:u w:val="single"/>
        </w:rPr>
      </w:pPr>
      <w:r w:rsidRPr="00DE1009">
        <w:rPr>
          <w:rFonts w:asciiTheme="minorHAnsi" w:hAnsiTheme="minorHAnsi" w:cstheme="minorHAnsi"/>
          <w:sz w:val="22"/>
          <w:szCs w:val="22"/>
          <w:u w:val="single"/>
        </w:rPr>
        <w:t xml:space="preserve">Final Summary following </w:t>
      </w:r>
      <w:r w:rsidR="00DE1009" w:rsidRPr="00DE1009">
        <w:rPr>
          <w:rFonts w:asciiTheme="minorHAnsi" w:hAnsiTheme="minorHAnsi" w:cstheme="minorHAnsi"/>
          <w:sz w:val="22"/>
          <w:szCs w:val="22"/>
          <w:u w:val="single"/>
        </w:rPr>
        <w:t>submission</w:t>
      </w:r>
      <w:r w:rsidRPr="00DE1009">
        <w:rPr>
          <w:rFonts w:asciiTheme="minorHAnsi" w:hAnsiTheme="minorHAnsi" w:cstheme="minorHAnsi"/>
          <w:sz w:val="22"/>
          <w:szCs w:val="22"/>
          <w:u w:val="single"/>
        </w:rPr>
        <w:t xml:space="preserve"> of all further details (subject to those to be secured by condition) </w:t>
      </w:r>
    </w:p>
    <w:p w14:paraId="71C3DE9E" w14:textId="77777777" w:rsidR="00D2100D" w:rsidRDefault="00D2100D" w:rsidP="00A02E84">
      <w:pPr>
        <w:pStyle w:val="Default"/>
        <w:jc w:val="both"/>
        <w:rPr>
          <w:rFonts w:asciiTheme="minorHAnsi" w:hAnsiTheme="minorHAnsi" w:cstheme="minorHAnsi"/>
          <w:sz w:val="22"/>
          <w:szCs w:val="22"/>
        </w:rPr>
      </w:pPr>
    </w:p>
    <w:p w14:paraId="52699A1F" w14:textId="5E7BC7A1" w:rsidR="003A3AC7" w:rsidRDefault="003A3AC7" w:rsidP="009A6304">
      <w:pPr>
        <w:pStyle w:val="Default"/>
        <w:jc w:val="both"/>
        <w:rPr>
          <w:rFonts w:asciiTheme="minorHAnsi" w:hAnsiTheme="minorHAnsi" w:cstheme="minorHAnsi"/>
          <w:sz w:val="22"/>
          <w:szCs w:val="22"/>
        </w:rPr>
      </w:pPr>
      <w:r>
        <w:rPr>
          <w:rFonts w:asciiTheme="minorHAnsi" w:hAnsiTheme="minorHAnsi" w:cstheme="minorHAnsi"/>
          <w:sz w:val="22"/>
          <w:szCs w:val="22"/>
        </w:rPr>
        <w:t xml:space="preserve">Overall, the proposal to convert the ground floor of the </w:t>
      </w:r>
      <w:r w:rsidR="00DE1009">
        <w:rPr>
          <w:rFonts w:asciiTheme="minorHAnsi" w:hAnsiTheme="minorHAnsi" w:cstheme="minorHAnsi"/>
          <w:sz w:val="22"/>
          <w:szCs w:val="22"/>
        </w:rPr>
        <w:t xml:space="preserve">main listed </w:t>
      </w:r>
      <w:r>
        <w:rPr>
          <w:rFonts w:asciiTheme="minorHAnsi" w:hAnsiTheme="minorHAnsi" w:cstheme="minorHAnsi"/>
          <w:sz w:val="22"/>
          <w:szCs w:val="22"/>
        </w:rPr>
        <w:t xml:space="preserve">building, into residential accommodation, would result in less than substantial harm to the designated heritage asset, due to the subdivision of the internal space and the loss of some original ceiling heights. However, this harm is at the lower end of the scale as the architectural features which retain the most significance, will be retained. </w:t>
      </w:r>
    </w:p>
    <w:p w14:paraId="42B2AF82" w14:textId="77777777" w:rsidR="003A3AC7" w:rsidRDefault="003A3AC7" w:rsidP="009A6304">
      <w:pPr>
        <w:pStyle w:val="Default"/>
        <w:jc w:val="both"/>
        <w:rPr>
          <w:rFonts w:asciiTheme="minorHAnsi" w:hAnsiTheme="minorHAnsi" w:cstheme="minorHAnsi"/>
          <w:sz w:val="22"/>
          <w:szCs w:val="22"/>
        </w:rPr>
      </w:pPr>
    </w:p>
    <w:p w14:paraId="44CF3DE4" w14:textId="0D760BCE" w:rsidR="009A6304" w:rsidRDefault="003A3AC7" w:rsidP="009A6304">
      <w:pPr>
        <w:pStyle w:val="Default"/>
        <w:jc w:val="both"/>
        <w:rPr>
          <w:rFonts w:asciiTheme="minorHAnsi" w:hAnsiTheme="minorHAnsi" w:cstheme="minorHAnsi"/>
          <w:sz w:val="22"/>
          <w:szCs w:val="22"/>
        </w:rPr>
      </w:pPr>
      <w:r w:rsidRPr="009A6304">
        <w:rPr>
          <w:rFonts w:asciiTheme="minorHAnsi" w:hAnsiTheme="minorHAnsi" w:cstheme="minorHAnsi"/>
          <w:sz w:val="22"/>
          <w:szCs w:val="22"/>
        </w:rPr>
        <w:t>As required by the NPPF</w:t>
      </w:r>
      <w:r w:rsidR="009A6304" w:rsidRPr="009A6304">
        <w:rPr>
          <w:rFonts w:asciiTheme="minorHAnsi" w:hAnsiTheme="minorHAnsi" w:cstheme="minorHAnsi"/>
          <w:sz w:val="22"/>
          <w:szCs w:val="22"/>
        </w:rPr>
        <w:t xml:space="preserve">, para 208, where a development proposal </w:t>
      </w:r>
      <w:r w:rsidR="009A6304" w:rsidRPr="009A6304">
        <w:rPr>
          <w:rFonts w:asciiTheme="minorHAnsi" w:hAnsiTheme="minorHAnsi" w:cstheme="minorHAnsi"/>
          <w:sz w:val="22"/>
          <w:szCs w:val="22"/>
        </w:rPr>
        <w:t>will lead to less than substantial harm to the significance of a designated heritage asset, this harm should be weighed against the public benefits of the proposal including, where appropriate, securing its optimum viable use</w:t>
      </w:r>
      <w:r w:rsidR="009A6304">
        <w:rPr>
          <w:rFonts w:asciiTheme="minorHAnsi" w:hAnsiTheme="minorHAnsi" w:cstheme="minorHAnsi"/>
          <w:sz w:val="22"/>
          <w:szCs w:val="22"/>
        </w:rPr>
        <w:t xml:space="preserve">. The public benefits here include bringing a vacant and deteriorating listed building back into viable use therefore securing its longevity and future care. Whilst this is not a hertiage consideration, the proposal would also provide specialist residential units in a sustainable location. </w:t>
      </w:r>
    </w:p>
    <w:p w14:paraId="5C4CF3EB" w14:textId="77777777" w:rsidR="009A6304" w:rsidRDefault="009A6304" w:rsidP="009A6304">
      <w:pPr>
        <w:pStyle w:val="Default"/>
        <w:jc w:val="both"/>
        <w:rPr>
          <w:rFonts w:asciiTheme="minorHAnsi" w:hAnsiTheme="minorHAnsi" w:cstheme="minorHAnsi"/>
          <w:sz w:val="22"/>
          <w:szCs w:val="22"/>
        </w:rPr>
      </w:pPr>
    </w:p>
    <w:p w14:paraId="7D13FD43" w14:textId="6B0273EE" w:rsidR="00D2100D" w:rsidRDefault="009A6304" w:rsidP="009A6304">
      <w:pPr>
        <w:pStyle w:val="Default"/>
        <w:jc w:val="both"/>
        <w:rPr>
          <w:rFonts w:asciiTheme="minorHAnsi" w:hAnsiTheme="minorHAnsi" w:cstheme="minorHAnsi"/>
          <w:sz w:val="22"/>
          <w:szCs w:val="22"/>
        </w:rPr>
      </w:pPr>
      <w:r w:rsidRPr="00D2100D">
        <w:rPr>
          <w:rFonts w:asciiTheme="minorHAnsi" w:hAnsiTheme="minorHAnsi" w:cstheme="minorHAnsi"/>
          <w:sz w:val="22"/>
          <w:szCs w:val="22"/>
        </w:rPr>
        <w:t xml:space="preserve">It has already been deemed in the response dated </w:t>
      </w:r>
      <w:r w:rsidR="00D2100D" w:rsidRPr="00D2100D">
        <w:rPr>
          <w:rFonts w:asciiTheme="minorHAnsi" w:hAnsiTheme="minorHAnsi" w:cstheme="minorHAnsi"/>
          <w:sz w:val="22"/>
          <w:szCs w:val="22"/>
        </w:rPr>
        <w:t xml:space="preserve">21/2/2024 </w:t>
      </w:r>
      <w:r w:rsidR="00D2100D">
        <w:rPr>
          <w:rFonts w:asciiTheme="minorHAnsi" w:hAnsiTheme="minorHAnsi" w:cstheme="minorHAnsi"/>
          <w:sz w:val="22"/>
          <w:szCs w:val="22"/>
        </w:rPr>
        <w:t>that overall, subject to the approval of suitable materials, the proposed extension would not result in harm to the main listed building or the St Faiths Conservation</w:t>
      </w:r>
      <w:r w:rsidR="00183DFE">
        <w:rPr>
          <w:rFonts w:asciiTheme="minorHAnsi" w:hAnsiTheme="minorHAnsi" w:cstheme="minorHAnsi"/>
          <w:sz w:val="22"/>
          <w:szCs w:val="22"/>
        </w:rPr>
        <w:t xml:space="preserve"> Area</w:t>
      </w:r>
      <w:r w:rsidR="00D2100D">
        <w:rPr>
          <w:rFonts w:asciiTheme="minorHAnsi" w:hAnsiTheme="minorHAnsi" w:cstheme="minorHAnsi"/>
          <w:sz w:val="22"/>
          <w:szCs w:val="22"/>
        </w:rPr>
        <w:t xml:space="preserve">. </w:t>
      </w:r>
    </w:p>
    <w:p w14:paraId="14A730EC" w14:textId="77777777" w:rsidR="00D2100D" w:rsidRDefault="00D2100D" w:rsidP="009A6304">
      <w:pPr>
        <w:pStyle w:val="Default"/>
        <w:jc w:val="both"/>
        <w:rPr>
          <w:rFonts w:asciiTheme="minorHAnsi" w:hAnsiTheme="minorHAnsi" w:cstheme="minorHAnsi"/>
          <w:sz w:val="22"/>
          <w:szCs w:val="22"/>
        </w:rPr>
      </w:pPr>
    </w:p>
    <w:p w14:paraId="15B70FEB" w14:textId="2E2C7023" w:rsidR="00D2100D" w:rsidRPr="00D2100D" w:rsidRDefault="00DE1009" w:rsidP="009A6304">
      <w:pPr>
        <w:pStyle w:val="Default"/>
        <w:jc w:val="both"/>
        <w:rPr>
          <w:rFonts w:asciiTheme="minorHAnsi" w:hAnsiTheme="minorHAnsi" w:cstheme="minorHAnsi"/>
          <w:sz w:val="22"/>
          <w:szCs w:val="22"/>
        </w:rPr>
      </w:pPr>
      <w:r>
        <w:rPr>
          <w:rFonts w:asciiTheme="minorHAnsi" w:hAnsiTheme="minorHAnsi" w:cstheme="minorHAnsi"/>
          <w:sz w:val="22"/>
          <w:szCs w:val="22"/>
        </w:rPr>
        <w:t>P</w:t>
      </w:r>
      <w:r w:rsidR="00D2100D">
        <w:rPr>
          <w:rFonts w:asciiTheme="minorHAnsi" w:hAnsiTheme="minorHAnsi" w:cstheme="minorHAnsi"/>
          <w:sz w:val="22"/>
          <w:szCs w:val="22"/>
        </w:rPr>
        <w:t>art of the building to be demolished is a non-designated hertiage asset. However, this building is of a basic construction and is in structurally poor repair. Its loss would result in less than substantial harm a</w:t>
      </w:r>
      <w:r>
        <w:rPr>
          <w:rFonts w:asciiTheme="minorHAnsi" w:hAnsiTheme="minorHAnsi" w:cstheme="minorHAnsi"/>
          <w:sz w:val="22"/>
          <w:szCs w:val="22"/>
        </w:rPr>
        <w:t>t</w:t>
      </w:r>
      <w:r w:rsidR="00D2100D">
        <w:rPr>
          <w:rFonts w:asciiTheme="minorHAnsi" w:hAnsiTheme="minorHAnsi" w:cstheme="minorHAnsi"/>
          <w:sz w:val="22"/>
          <w:szCs w:val="22"/>
        </w:rPr>
        <w:t xml:space="preserve"> the very low of the scale and would not result in harm to the St Faiths Conservation Area as its contribution </w:t>
      </w:r>
      <w:r>
        <w:rPr>
          <w:rFonts w:asciiTheme="minorHAnsi" w:hAnsiTheme="minorHAnsi" w:cstheme="minorHAnsi"/>
          <w:sz w:val="22"/>
          <w:szCs w:val="22"/>
        </w:rPr>
        <w:t xml:space="preserve">in terms of contributing to the special character of the conservation area, </w:t>
      </w:r>
      <w:r w:rsidR="00D2100D">
        <w:rPr>
          <w:rFonts w:asciiTheme="minorHAnsi" w:hAnsiTheme="minorHAnsi" w:cstheme="minorHAnsi"/>
          <w:sz w:val="22"/>
          <w:szCs w:val="22"/>
        </w:rPr>
        <w:t xml:space="preserve">is very low. </w:t>
      </w:r>
    </w:p>
    <w:p w14:paraId="16297C3F" w14:textId="77777777" w:rsidR="00D2100D" w:rsidRDefault="00D2100D" w:rsidP="009A6304">
      <w:pPr>
        <w:pStyle w:val="Default"/>
        <w:jc w:val="both"/>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36D25258" w14:textId="2930D770" w:rsidR="00DE1009" w:rsidRDefault="00DE1009" w:rsidP="00F86F4B">
      <w:pPr>
        <w:pStyle w:val="Default"/>
        <w:jc w:val="both"/>
        <w:rPr>
          <w:rFonts w:asciiTheme="minorHAnsi" w:hAnsiTheme="minorHAnsi" w:cstheme="minorHAnsi"/>
          <w:bCs/>
          <w:sz w:val="22"/>
          <w:szCs w:val="22"/>
        </w:rPr>
      </w:pPr>
    </w:p>
    <w:p w14:paraId="54FEBCAD" w14:textId="5E530A7F" w:rsidR="00DE1009" w:rsidRDefault="00DE1009" w:rsidP="00DE1009">
      <w:pPr>
        <w:pStyle w:val="Default"/>
        <w:numPr>
          <w:ilvl w:val="0"/>
          <w:numId w:val="21"/>
        </w:numPr>
        <w:jc w:val="both"/>
        <w:rPr>
          <w:rFonts w:asciiTheme="minorHAnsi" w:hAnsiTheme="minorHAnsi" w:cstheme="minorHAnsi"/>
          <w:bCs/>
          <w:sz w:val="22"/>
          <w:szCs w:val="22"/>
        </w:rPr>
      </w:pPr>
      <w:r w:rsidRPr="00DE1009">
        <w:rPr>
          <w:rFonts w:asciiTheme="minorHAnsi" w:hAnsiTheme="minorHAnsi" w:cstheme="minorHAnsi"/>
          <w:bCs/>
          <w:sz w:val="22"/>
          <w:szCs w:val="22"/>
        </w:rPr>
        <w:t xml:space="preserve">Conversion of the main listed building to residential accommodation – less than substantial harm at the lower end of the scale. </w:t>
      </w:r>
    </w:p>
    <w:p w14:paraId="6331BFC1" w14:textId="77777777" w:rsidR="00DE1009" w:rsidRDefault="00DE1009" w:rsidP="00DE1009">
      <w:pPr>
        <w:pStyle w:val="Default"/>
        <w:numPr>
          <w:ilvl w:val="0"/>
          <w:numId w:val="21"/>
        </w:numPr>
        <w:jc w:val="both"/>
        <w:rPr>
          <w:rFonts w:asciiTheme="minorHAnsi" w:hAnsiTheme="minorHAnsi" w:cstheme="minorHAnsi"/>
          <w:bCs/>
          <w:sz w:val="22"/>
          <w:szCs w:val="22"/>
        </w:rPr>
      </w:pPr>
      <w:r>
        <w:rPr>
          <w:rFonts w:asciiTheme="minorHAnsi" w:hAnsiTheme="minorHAnsi" w:cstheme="minorHAnsi"/>
          <w:bCs/>
          <w:sz w:val="22"/>
          <w:szCs w:val="22"/>
        </w:rPr>
        <w:lastRenderedPageBreak/>
        <w:t xml:space="preserve">Loss of the NDHA – less than </w:t>
      </w:r>
      <w:r w:rsidRPr="00DE1009">
        <w:rPr>
          <w:rFonts w:asciiTheme="minorHAnsi" w:hAnsiTheme="minorHAnsi" w:cstheme="minorHAnsi"/>
          <w:bCs/>
          <w:sz w:val="22"/>
          <w:szCs w:val="22"/>
        </w:rPr>
        <w:t xml:space="preserve">substantial harm at the lower end of the scale. </w:t>
      </w:r>
    </w:p>
    <w:p w14:paraId="37095405" w14:textId="29AFC1DF" w:rsidR="00DE1009" w:rsidRDefault="00DE1009" w:rsidP="00DE1009">
      <w:pPr>
        <w:pStyle w:val="Default"/>
        <w:numPr>
          <w:ilvl w:val="0"/>
          <w:numId w:val="21"/>
        </w:numPr>
        <w:jc w:val="both"/>
        <w:rPr>
          <w:rFonts w:asciiTheme="minorHAnsi" w:hAnsiTheme="minorHAnsi" w:cstheme="minorHAnsi"/>
          <w:bCs/>
          <w:sz w:val="22"/>
          <w:szCs w:val="22"/>
        </w:rPr>
      </w:pPr>
      <w:r>
        <w:rPr>
          <w:rFonts w:asciiTheme="minorHAnsi" w:hAnsiTheme="minorHAnsi" w:cstheme="minorHAnsi"/>
          <w:bCs/>
          <w:sz w:val="22"/>
          <w:szCs w:val="22"/>
        </w:rPr>
        <w:t xml:space="preserve">New extensions to the rear of the building and porch onto North Street – no harm subject to agreed materials </w:t>
      </w:r>
    </w:p>
    <w:p w14:paraId="5395A51E" w14:textId="34FB075C" w:rsidR="00DE1009" w:rsidRPr="00DE1009" w:rsidRDefault="00DE1009" w:rsidP="00DE1009">
      <w:pPr>
        <w:pStyle w:val="Default"/>
        <w:numPr>
          <w:ilvl w:val="0"/>
          <w:numId w:val="21"/>
        </w:numPr>
        <w:jc w:val="both"/>
        <w:rPr>
          <w:rFonts w:asciiTheme="minorHAnsi" w:hAnsiTheme="minorHAnsi" w:cstheme="minorHAnsi"/>
          <w:bCs/>
          <w:sz w:val="22"/>
          <w:szCs w:val="22"/>
        </w:rPr>
      </w:pPr>
      <w:r>
        <w:rPr>
          <w:rFonts w:asciiTheme="minorHAnsi" w:hAnsiTheme="minorHAnsi" w:cstheme="minorHAnsi"/>
          <w:bCs/>
          <w:sz w:val="22"/>
          <w:szCs w:val="22"/>
        </w:rPr>
        <w:t>Impact on the St Faiths Conservation</w:t>
      </w:r>
      <w:r w:rsidR="00890752">
        <w:rPr>
          <w:rFonts w:asciiTheme="minorHAnsi" w:hAnsiTheme="minorHAnsi" w:cstheme="minorHAnsi"/>
          <w:bCs/>
          <w:sz w:val="22"/>
          <w:szCs w:val="22"/>
        </w:rPr>
        <w:t xml:space="preserve"> (a designated hertiage asset)</w:t>
      </w:r>
      <w:r>
        <w:rPr>
          <w:rFonts w:asciiTheme="minorHAnsi" w:hAnsiTheme="minorHAnsi" w:cstheme="minorHAnsi"/>
          <w:bCs/>
          <w:sz w:val="22"/>
          <w:szCs w:val="22"/>
        </w:rPr>
        <w:t xml:space="preserve"> – </w:t>
      </w:r>
      <w:r w:rsidR="00183DFE">
        <w:rPr>
          <w:rFonts w:asciiTheme="minorHAnsi" w:hAnsiTheme="minorHAnsi" w:cstheme="minorHAnsi"/>
          <w:bCs/>
          <w:sz w:val="22"/>
          <w:szCs w:val="22"/>
        </w:rPr>
        <w:t xml:space="preserve">less than significant harm </w:t>
      </w:r>
      <w:r>
        <w:rPr>
          <w:rFonts w:asciiTheme="minorHAnsi" w:hAnsiTheme="minorHAnsi" w:cstheme="minorHAnsi"/>
          <w:bCs/>
          <w:sz w:val="22"/>
          <w:szCs w:val="22"/>
        </w:rPr>
        <w:t xml:space="preserve">from loss of NDHA, no harm from new extension and </w:t>
      </w:r>
      <w:r w:rsidR="00890752">
        <w:rPr>
          <w:rFonts w:asciiTheme="minorHAnsi" w:hAnsiTheme="minorHAnsi" w:cstheme="minorHAnsi"/>
          <w:bCs/>
          <w:sz w:val="22"/>
          <w:szCs w:val="22"/>
        </w:rPr>
        <w:t xml:space="preserve">no harm from the </w:t>
      </w:r>
      <w:r>
        <w:rPr>
          <w:rFonts w:asciiTheme="minorHAnsi" w:hAnsiTheme="minorHAnsi" w:cstheme="minorHAnsi"/>
          <w:bCs/>
          <w:sz w:val="22"/>
          <w:szCs w:val="22"/>
        </w:rPr>
        <w:t xml:space="preserve">conversion of listed building. </w:t>
      </w:r>
    </w:p>
    <w:p w14:paraId="74809B77" w14:textId="77777777" w:rsidR="003253EF" w:rsidRDefault="003253EF" w:rsidP="00F86F4B">
      <w:pPr>
        <w:pStyle w:val="Default"/>
        <w:jc w:val="both"/>
        <w:rPr>
          <w:rFonts w:asciiTheme="minorHAnsi" w:hAnsiTheme="minorHAnsi" w:cstheme="minorHAnsi"/>
          <w:b/>
          <w:sz w:val="22"/>
          <w:szCs w:val="22"/>
          <w:u w:val="single"/>
        </w:rPr>
      </w:pPr>
    </w:p>
    <w:p w14:paraId="1AAAB8D0" w14:textId="2B44B46F" w:rsidR="003253EF" w:rsidRPr="00890752" w:rsidRDefault="00DE1009" w:rsidP="00F86F4B">
      <w:pPr>
        <w:pStyle w:val="Default"/>
        <w:jc w:val="both"/>
        <w:rPr>
          <w:rFonts w:asciiTheme="minorHAnsi" w:hAnsiTheme="minorHAnsi" w:cstheme="minorHAnsi"/>
          <w:bCs/>
          <w:i/>
          <w:iCs/>
          <w:sz w:val="22"/>
          <w:szCs w:val="22"/>
        </w:rPr>
      </w:pPr>
      <w:r w:rsidRPr="00890752">
        <w:rPr>
          <w:rFonts w:asciiTheme="minorHAnsi" w:hAnsiTheme="minorHAnsi" w:cstheme="minorHAnsi"/>
          <w:bCs/>
          <w:i/>
          <w:iCs/>
          <w:sz w:val="22"/>
          <w:szCs w:val="22"/>
        </w:rPr>
        <w:t xml:space="preserve">The following conditions are suggested for inclusion on APP/23/00852: </w:t>
      </w:r>
      <w:r w:rsidR="004F4397" w:rsidRPr="00890752">
        <w:rPr>
          <w:rFonts w:asciiTheme="minorHAnsi" w:hAnsiTheme="minorHAnsi" w:cstheme="minorHAnsi"/>
          <w:bCs/>
          <w:i/>
          <w:iCs/>
          <w:sz w:val="22"/>
          <w:szCs w:val="22"/>
        </w:rPr>
        <w:t xml:space="preserve"> </w:t>
      </w:r>
      <w:r w:rsidR="00545376" w:rsidRPr="00890752">
        <w:rPr>
          <w:rFonts w:asciiTheme="minorHAnsi" w:hAnsiTheme="minorHAnsi" w:cstheme="minorHAnsi"/>
          <w:bCs/>
          <w:i/>
          <w:iCs/>
          <w:sz w:val="22"/>
          <w:szCs w:val="22"/>
        </w:rPr>
        <w:t xml:space="preserve"> </w:t>
      </w:r>
    </w:p>
    <w:p w14:paraId="116623EB" w14:textId="77777777" w:rsidR="00DE1009" w:rsidRDefault="00DE1009" w:rsidP="00F86F4B">
      <w:pPr>
        <w:pStyle w:val="Default"/>
        <w:jc w:val="both"/>
        <w:rPr>
          <w:rFonts w:asciiTheme="minorHAnsi" w:hAnsiTheme="minorHAnsi" w:cstheme="minorHAnsi"/>
          <w:bCs/>
          <w:sz w:val="22"/>
          <w:szCs w:val="22"/>
        </w:rPr>
      </w:pPr>
    </w:p>
    <w:p w14:paraId="5CEB1D94" w14:textId="2A69BE67" w:rsidR="00DE1009" w:rsidRPr="00DE1009" w:rsidRDefault="00DE1009" w:rsidP="00DE1009">
      <w:pPr>
        <w:pStyle w:val="Defaul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r w:rsidRPr="00DE1009">
        <w:rPr>
          <w:rFonts w:asciiTheme="minorHAnsi" w:hAnsiTheme="minorHAnsi" w:cstheme="minorHAnsi"/>
          <w:sz w:val="22"/>
          <w:szCs w:val="22"/>
        </w:rPr>
        <w:t xml:space="preserve">The secondary glazing to be provided shall be fitted in accordance with Drawing Numbers 23_201_PW13A; PW12 Rev C; and PW13 and the existing original interior architrave on each aperture shall be re-instated accordingly, prior to the first occupation of any unit and retained thereafter.  </w:t>
      </w:r>
    </w:p>
    <w:p w14:paraId="42DAA9A1" w14:textId="77777777" w:rsidR="00DE1009" w:rsidRPr="00DE1009" w:rsidRDefault="00DE1009" w:rsidP="00DE10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r w:rsidRPr="00DE1009">
        <w:rPr>
          <w:rFonts w:asciiTheme="minorHAnsi" w:hAnsiTheme="minorHAnsi" w:cstheme="minorHAnsi"/>
          <w:b/>
          <w:bCs/>
          <w:sz w:val="22"/>
          <w:szCs w:val="22"/>
        </w:rPr>
        <w:t>Reason</w:t>
      </w:r>
      <w:r w:rsidRPr="00DE1009">
        <w:rPr>
          <w:rFonts w:asciiTheme="minorHAnsi" w:hAnsiTheme="minorHAnsi" w:cstheme="minorHAnsi"/>
          <w:sz w:val="22"/>
          <w:szCs w:val="22"/>
        </w:rPr>
        <w:t xml:space="preserve"> – In the interests of protecting the architectural significance of the designated heritage asset to secure a satisfactory and sympathetic form of development and having due regard to policy CS11 of the Havant Borough Local Plan (Core Strategy) 2011, Policy DM20 of the Havant Borough Local Plan (Allocations) 2014, and the National Planning Policy Framework.</w:t>
      </w:r>
    </w:p>
    <w:p w14:paraId="0AB90AEF" w14:textId="77777777" w:rsidR="00DE1009" w:rsidRPr="00DE1009" w:rsidRDefault="00DE1009" w:rsidP="00DE10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p>
    <w:p w14:paraId="6D6760F4" w14:textId="64D6900E" w:rsidR="00DE1009" w:rsidRPr="00DE1009" w:rsidRDefault="00DE1009" w:rsidP="00DE1009">
      <w:pPr>
        <w:pStyle w:val="Defaul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r w:rsidRPr="00DE1009">
        <w:rPr>
          <w:rFonts w:asciiTheme="minorHAnsi" w:hAnsiTheme="minorHAnsi" w:cstheme="minorHAnsi"/>
          <w:sz w:val="22"/>
          <w:szCs w:val="22"/>
        </w:rPr>
        <w:t>Prior to first occupation of any unit, a detailed Method Statement outlining the proposed repair to the external façades of the main Listed Building shall be submitted to and approved in writing by the Local Planning Authority. Such details shall include:</w:t>
      </w:r>
    </w:p>
    <w:p w14:paraId="31FF59FE" w14:textId="77777777" w:rsidR="00DE1009" w:rsidRDefault="00DE1009" w:rsidP="00DE10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cs="Arial"/>
          <w:sz w:val="22"/>
          <w:szCs w:val="22"/>
        </w:rPr>
      </w:pPr>
    </w:p>
    <w:p w14:paraId="2C2C27BD" w14:textId="77777777" w:rsidR="00DE1009" w:rsidRPr="00DE1009" w:rsidRDefault="00DE1009" w:rsidP="00DE1009">
      <w:pPr>
        <w:pStyle w:val="Default"/>
        <w:numPr>
          <w:ilvl w:val="0"/>
          <w:numId w:val="23"/>
        </w:numPr>
        <w:tabs>
          <w:tab w:val="left"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sz w:val="22"/>
          <w:szCs w:val="22"/>
        </w:rPr>
      </w:pPr>
      <w:r w:rsidRPr="00DE1009">
        <w:rPr>
          <w:rFonts w:asciiTheme="minorHAnsi" w:hAnsiTheme="minorHAnsi" w:cstheme="minorHAnsi"/>
          <w:sz w:val="22"/>
          <w:szCs w:val="22"/>
        </w:rPr>
        <w:t xml:space="preserve">Repair and renovation of each individual door and window, including details of paint finish (colour and type) and </w:t>
      </w:r>
    </w:p>
    <w:p w14:paraId="34FD358F" w14:textId="77777777" w:rsidR="00DE1009" w:rsidRPr="00DE1009" w:rsidRDefault="00DE1009" w:rsidP="00DE1009">
      <w:pPr>
        <w:pStyle w:val="Defaul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r w:rsidRPr="00DE1009">
        <w:rPr>
          <w:rFonts w:asciiTheme="minorHAnsi" w:hAnsiTheme="minorHAnsi" w:cstheme="minorHAnsi"/>
          <w:sz w:val="22"/>
          <w:szCs w:val="22"/>
        </w:rPr>
        <w:tab/>
      </w:r>
      <w:r w:rsidRPr="00DE1009">
        <w:rPr>
          <w:rFonts w:asciiTheme="minorHAnsi" w:hAnsiTheme="minorHAnsi" w:cstheme="minorHAnsi"/>
          <w:sz w:val="22"/>
          <w:szCs w:val="22"/>
        </w:rPr>
        <w:tab/>
        <w:t xml:space="preserve">a) an annotated plan at 1:10 showing explanation of repair/renovation. </w:t>
      </w:r>
    </w:p>
    <w:p w14:paraId="4E415E04" w14:textId="77777777" w:rsidR="00DE1009" w:rsidRPr="00DE1009" w:rsidRDefault="00DE1009" w:rsidP="00DE1009">
      <w:pPr>
        <w:pStyle w:val="Defaul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r w:rsidRPr="00DE1009">
        <w:rPr>
          <w:rFonts w:asciiTheme="minorHAnsi" w:hAnsiTheme="minorHAnsi" w:cstheme="minorHAnsi"/>
          <w:sz w:val="22"/>
          <w:szCs w:val="22"/>
        </w:rPr>
        <w:tab/>
      </w:r>
      <w:r w:rsidRPr="00DE1009">
        <w:rPr>
          <w:rFonts w:asciiTheme="minorHAnsi" w:hAnsiTheme="minorHAnsi" w:cstheme="minorHAnsi"/>
          <w:sz w:val="22"/>
          <w:szCs w:val="22"/>
        </w:rPr>
        <w:tab/>
        <w:t>b) detailed explanation of how currently fixed shut windows will be made openable.</w:t>
      </w:r>
      <w:r w:rsidRPr="00DE1009">
        <w:rPr>
          <w:rFonts w:asciiTheme="minorHAnsi" w:hAnsiTheme="minorHAnsi" w:cstheme="minorHAnsi"/>
          <w:sz w:val="22"/>
          <w:szCs w:val="22"/>
        </w:rPr>
        <w:tab/>
      </w:r>
      <w:r w:rsidRPr="00DE1009">
        <w:rPr>
          <w:rFonts w:asciiTheme="minorHAnsi" w:hAnsiTheme="minorHAnsi" w:cstheme="minorHAnsi"/>
          <w:sz w:val="22"/>
          <w:szCs w:val="22"/>
        </w:rPr>
        <w:tab/>
      </w:r>
    </w:p>
    <w:p w14:paraId="70FC75C1" w14:textId="38EBEF20" w:rsidR="00DE1009" w:rsidRPr="00DE1009" w:rsidRDefault="00DE1009" w:rsidP="00DE1009">
      <w:pPr>
        <w:pStyle w:val="Defaul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r w:rsidRPr="00DE1009">
        <w:rPr>
          <w:rFonts w:asciiTheme="minorHAnsi" w:hAnsiTheme="minorHAnsi" w:cstheme="minorHAnsi"/>
          <w:sz w:val="22"/>
          <w:szCs w:val="22"/>
        </w:rPr>
        <w:t xml:space="preserve">2.     Repair to or removal of any existing signage and details for making good of the façade. </w:t>
      </w:r>
    </w:p>
    <w:p w14:paraId="203E5FE8" w14:textId="77777777" w:rsidR="00DE1009" w:rsidRPr="00DE1009" w:rsidRDefault="00DE1009" w:rsidP="00DE1009">
      <w:pPr>
        <w:pStyle w:val="Defaul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color w:val="151515"/>
          <w:sz w:val="22"/>
          <w:szCs w:val="22"/>
          <w:shd w:val="clear" w:color="auto" w:fill="FFFFFF"/>
        </w:rPr>
      </w:pPr>
      <w:r w:rsidRPr="00DE1009">
        <w:rPr>
          <w:rFonts w:asciiTheme="minorHAnsi" w:hAnsiTheme="minorHAnsi" w:cstheme="minorHAnsi"/>
          <w:sz w:val="22"/>
          <w:szCs w:val="22"/>
        </w:rPr>
        <w:t xml:space="preserve">3.     Details of repairs to external brick work, carriage lights, </w:t>
      </w:r>
    </w:p>
    <w:p w14:paraId="15D5F5BA" w14:textId="77777777" w:rsidR="00DE1009" w:rsidRPr="00DE1009" w:rsidRDefault="00DE1009" w:rsidP="00DE10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r w:rsidRPr="00DE1009">
        <w:rPr>
          <w:rFonts w:asciiTheme="minorHAnsi" w:hAnsiTheme="minorHAnsi" w:cstheme="minorHAnsi"/>
          <w:b/>
          <w:bCs/>
          <w:sz w:val="22"/>
          <w:szCs w:val="22"/>
        </w:rPr>
        <w:t>Reason</w:t>
      </w:r>
      <w:r w:rsidRPr="00DE1009">
        <w:rPr>
          <w:rFonts w:asciiTheme="minorHAnsi" w:hAnsiTheme="minorHAnsi" w:cstheme="minorHAnsi"/>
          <w:sz w:val="22"/>
          <w:szCs w:val="22"/>
        </w:rPr>
        <w:t xml:space="preserve"> – In the interests of protecting the architectural significance of the designated heritage asset to secure a satisfactory and sympathetic form of development and having due regard to policy CS11 of the Havant Borough Local Plan (Core Strategy) 2011, Policy DM20 of the Havant Borough Local Plan (Allocations) 2014, and the National Planning Policy Framework.</w:t>
      </w:r>
    </w:p>
    <w:p w14:paraId="41DCF9E7" w14:textId="77777777" w:rsidR="00DE1009" w:rsidRPr="00DE1009" w:rsidRDefault="00DE1009" w:rsidP="00DE1009">
      <w:pPr>
        <w:pStyle w:val="Defaul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color w:val="151515"/>
          <w:sz w:val="22"/>
          <w:szCs w:val="22"/>
          <w:shd w:val="clear" w:color="auto" w:fill="FFFFFF"/>
        </w:rPr>
      </w:pPr>
    </w:p>
    <w:p w14:paraId="6FD2103C" w14:textId="3F216A35" w:rsidR="00DE1009" w:rsidRPr="00DE1009" w:rsidRDefault="00DA09AF" w:rsidP="00DA09AF">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color w:val="151515"/>
          <w:sz w:val="22"/>
          <w:szCs w:val="22"/>
          <w:shd w:val="clear" w:color="auto" w:fill="FFFFFF"/>
        </w:rPr>
      </w:pPr>
      <w:r>
        <w:rPr>
          <w:rFonts w:asciiTheme="minorHAnsi" w:hAnsiTheme="minorHAnsi" w:cstheme="minorHAnsi"/>
          <w:sz w:val="22"/>
          <w:szCs w:val="22"/>
        </w:rPr>
        <w:t>4.</w:t>
      </w:r>
      <w:r w:rsidR="00DE1009" w:rsidRPr="00DE1009">
        <w:rPr>
          <w:rFonts w:asciiTheme="minorHAnsi" w:hAnsiTheme="minorHAnsi" w:cstheme="minorHAnsi"/>
          <w:sz w:val="22"/>
          <w:szCs w:val="22"/>
        </w:rPr>
        <w:t xml:space="preserve">No above ground construction works (other than works of demolition) shall commence until details of the size, siting and design of all new external facing grilles and ducts, including materials, </w:t>
      </w:r>
      <w:proofErr w:type="gramStart"/>
      <w:r w:rsidR="00DE1009" w:rsidRPr="00DE1009">
        <w:rPr>
          <w:rFonts w:asciiTheme="minorHAnsi" w:hAnsiTheme="minorHAnsi" w:cstheme="minorHAnsi"/>
          <w:sz w:val="22"/>
          <w:szCs w:val="22"/>
        </w:rPr>
        <w:t>finish</w:t>
      </w:r>
      <w:proofErr w:type="gramEnd"/>
      <w:r w:rsidR="00DE1009" w:rsidRPr="00DE1009">
        <w:rPr>
          <w:rFonts w:asciiTheme="minorHAnsi" w:hAnsiTheme="minorHAnsi" w:cstheme="minorHAnsi"/>
          <w:sz w:val="22"/>
          <w:szCs w:val="22"/>
        </w:rPr>
        <w:t xml:space="preserve"> and colour, including corresponding elevation plan showing location of all new external grilles and ducts, has been submitted to and approved in writing by the Local Planning Authority. All works shall be carried out in full accordance with such approval and be retained thereafter. </w:t>
      </w:r>
    </w:p>
    <w:p w14:paraId="7675FA13" w14:textId="2DFABCA1" w:rsidR="00DE1009" w:rsidRDefault="00DE1009" w:rsidP="00DE1009">
      <w:pPr>
        <w:pStyle w:val="Defaul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151515"/>
          <w:sz w:val="22"/>
          <w:szCs w:val="22"/>
          <w:shd w:val="clear" w:color="auto" w:fill="FFFFFF"/>
        </w:rPr>
      </w:pPr>
    </w:p>
    <w:p w14:paraId="2EB9F4FD" w14:textId="7BBE2850" w:rsidR="00DE1009" w:rsidRPr="00DE1009" w:rsidRDefault="00DE1009" w:rsidP="00DA09AF">
      <w:pPr>
        <w:pStyle w:val="Default"/>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color w:val="151515"/>
          <w:sz w:val="22"/>
          <w:szCs w:val="22"/>
          <w:shd w:val="clear" w:color="auto" w:fill="FFFFFF"/>
        </w:rPr>
      </w:pPr>
      <w:r w:rsidRPr="00DE1009">
        <w:rPr>
          <w:rFonts w:asciiTheme="minorHAnsi" w:hAnsiTheme="minorHAnsi" w:cstheme="minorHAnsi"/>
          <w:sz w:val="22"/>
          <w:szCs w:val="22"/>
        </w:rPr>
        <w:t xml:space="preserve">Prior to the installation of any internal sprinkler system, full details shall be submitted to and approved in writing by the Local Planning Local Planning Authority. All works shall be carried out in full accordance with such approval and be retained thereafter. </w:t>
      </w:r>
    </w:p>
    <w:p w14:paraId="55B0196B" w14:textId="77777777" w:rsidR="00DE1009" w:rsidRDefault="00DE1009" w:rsidP="00DE1009">
      <w:pPr>
        <w:pStyle w:val="Defaul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color w:val="151515"/>
          <w:sz w:val="22"/>
          <w:szCs w:val="22"/>
          <w:shd w:val="clear" w:color="auto" w:fill="FFFFFF"/>
        </w:rPr>
      </w:pPr>
    </w:p>
    <w:p w14:paraId="0844B211" w14:textId="34D10F72" w:rsidR="00183DFE" w:rsidRPr="00890752" w:rsidRDefault="00183DFE" w:rsidP="00183DFE">
      <w:pPr>
        <w:pStyle w:val="Default"/>
        <w:jc w:val="both"/>
        <w:rPr>
          <w:rFonts w:asciiTheme="minorHAnsi" w:hAnsiTheme="minorHAnsi" w:cstheme="minorHAnsi"/>
          <w:bCs/>
          <w:i/>
          <w:iCs/>
          <w:sz w:val="22"/>
          <w:szCs w:val="22"/>
        </w:rPr>
      </w:pPr>
      <w:r w:rsidRPr="00890752">
        <w:rPr>
          <w:rFonts w:asciiTheme="minorHAnsi" w:hAnsiTheme="minorHAnsi" w:cstheme="minorHAnsi"/>
          <w:bCs/>
          <w:i/>
          <w:iCs/>
          <w:sz w:val="22"/>
          <w:szCs w:val="22"/>
        </w:rPr>
        <w:t>The following conditions are suggested for inclusion on APP/23/0085</w:t>
      </w:r>
      <w:r w:rsidRPr="00890752">
        <w:rPr>
          <w:rFonts w:asciiTheme="minorHAnsi" w:hAnsiTheme="minorHAnsi" w:cstheme="minorHAnsi"/>
          <w:bCs/>
          <w:i/>
          <w:iCs/>
          <w:sz w:val="22"/>
          <w:szCs w:val="22"/>
        </w:rPr>
        <w:t>1</w:t>
      </w:r>
      <w:r w:rsidRPr="00890752">
        <w:rPr>
          <w:rFonts w:asciiTheme="minorHAnsi" w:hAnsiTheme="minorHAnsi" w:cstheme="minorHAnsi"/>
          <w:bCs/>
          <w:i/>
          <w:iCs/>
          <w:sz w:val="22"/>
          <w:szCs w:val="22"/>
        </w:rPr>
        <w:t xml:space="preserve">:   </w:t>
      </w:r>
    </w:p>
    <w:p w14:paraId="2DD2BFF2" w14:textId="77777777" w:rsidR="00DE1009" w:rsidRPr="00DA09AF" w:rsidRDefault="00DE1009" w:rsidP="00DE100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Theme="minorHAnsi" w:hAnsiTheme="minorHAnsi" w:cstheme="minorHAnsi"/>
          <w:sz w:val="22"/>
          <w:szCs w:val="22"/>
        </w:rPr>
      </w:pPr>
    </w:p>
    <w:p w14:paraId="16D5C03B" w14:textId="778C46D0" w:rsidR="00DA09AF" w:rsidRPr="00DA09AF" w:rsidRDefault="00DA09AF" w:rsidP="00DA09AF">
      <w:pPr>
        <w:pStyle w:val="Normal0"/>
        <w:numPr>
          <w:ilvl w:val="0"/>
          <w:numId w:val="24"/>
        </w:numPr>
        <w:jc w:val="both"/>
        <w:rPr>
          <w:rFonts w:asciiTheme="minorHAnsi" w:hAnsiTheme="minorHAnsi" w:cstheme="minorHAnsi"/>
          <w:b/>
          <w:bCs/>
          <w:color w:val="FF0000"/>
          <w:sz w:val="22"/>
          <w:szCs w:val="22"/>
        </w:rPr>
      </w:pPr>
      <w:r w:rsidRPr="00DA09AF">
        <w:rPr>
          <w:rFonts w:asciiTheme="minorHAnsi" w:hAnsiTheme="minorHAnsi" w:cstheme="minorHAnsi"/>
          <w:color w:val="000000"/>
          <w:sz w:val="22"/>
          <w:szCs w:val="22"/>
        </w:rPr>
        <w:t xml:space="preserve">Notwithstanding any description of materials in the application, no above ground construction works shall take place until samples and / or full details of all new external materials to be used on the new extensions hereby permitted, including the finish colour of the render panels and </w:t>
      </w:r>
      <w:proofErr w:type="spellStart"/>
      <w:r w:rsidRPr="00DA09AF">
        <w:rPr>
          <w:rFonts w:asciiTheme="minorHAnsi" w:hAnsiTheme="minorHAnsi" w:cstheme="minorHAnsi"/>
          <w:color w:val="000000"/>
          <w:sz w:val="22"/>
          <w:szCs w:val="22"/>
        </w:rPr>
        <w:t>cedral</w:t>
      </w:r>
      <w:proofErr w:type="spellEnd"/>
      <w:r w:rsidRPr="00DA09AF">
        <w:rPr>
          <w:rFonts w:asciiTheme="minorHAnsi" w:hAnsiTheme="minorHAnsi" w:cstheme="minorHAnsi"/>
          <w:color w:val="000000"/>
          <w:sz w:val="22"/>
          <w:szCs w:val="22"/>
        </w:rPr>
        <w:t xml:space="preserve"> cladding, have been submitted to and approved in writing by the Local Planning Authority. Such details shall include the type, </w:t>
      </w:r>
      <w:proofErr w:type="gramStart"/>
      <w:r w:rsidRPr="00DA09AF">
        <w:rPr>
          <w:rFonts w:asciiTheme="minorHAnsi" w:hAnsiTheme="minorHAnsi" w:cstheme="minorHAnsi"/>
          <w:color w:val="000000"/>
          <w:sz w:val="22"/>
          <w:szCs w:val="22"/>
        </w:rPr>
        <w:t>colour</w:t>
      </w:r>
      <w:proofErr w:type="gramEnd"/>
      <w:r w:rsidRPr="00DA09AF">
        <w:rPr>
          <w:rFonts w:asciiTheme="minorHAnsi" w:hAnsiTheme="minorHAnsi" w:cstheme="minorHAnsi"/>
          <w:color w:val="000000"/>
          <w:sz w:val="22"/>
          <w:szCs w:val="22"/>
        </w:rPr>
        <w:t xml:space="preserve"> and texture of the materials. Only the materials so approved shall be used, in accordance with any terms of such approval.</w:t>
      </w:r>
    </w:p>
    <w:p w14:paraId="213C5F71" w14:textId="77777777" w:rsidR="00DA09AF" w:rsidRPr="00DA09AF" w:rsidRDefault="00DA09AF" w:rsidP="00DA09AF">
      <w:pPr>
        <w:pStyle w:val="Normal0"/>
        <w:jc w:val="both"/>
        <w:rPr>
          <w:rFonts w:asciiTheme="minorHAnsi" w:hAnsiTheme="minorHAnsi" w:cstheme="minorHAnsi"/>
          <w:b/>
          <w:bCs/>
          <w:color w:val="FF0000"/>
          <w:sz w:val="22"/>
          <w:szCs w:val="22"/>
        </w:rPr>
      </w:pPr>
      <w:r w:rsidRPr="00DA09AF">
        <w:rPr>
          <w:rFonts w:asciiTheme="minorHAnsi" w:hAnsiTheme="minorHAnsi" w:cstheme="minorHAnsi"/>
          <w:b/>
          <w:bCs/>
          <w:color w:val="000000"/>
          <w:sz w:val="22"/>
          <w:szCs w:val="22"/>
        </w:rPr>
        <w:lastRenderedPageBreak/>
        <w:t>Reason:</w:t>
      </w:r>
      <w:r w:rsidRPr="00DA09AF">
        <w:rPr>
          <w:rFonts w:asciiTheme="minorHAnsi" w:hAnsiTheme="minorHAnsi" w:cstheme="minorHAnsi"/>
          <w:b/>
          <w:bCs/>
          <w:color w:val="FF0000"/>
          <w:sz w:val="22"/>
          <w:szCs w:val="22"/>
        </w:rPr>
        <w:t xml:space="preserve"> </w:t>
      </w:r>
      <w:r w:rsidRPr="00DA09AF">
        <w:rPr>
          <w:rFonts w:asciiTheme="minorHAnsi" w:hAnsiTheme="minorHAnsi" w:cstheme="minorHAnsi"/>
          <w:sz w:val="22"/>
          <w:szCs w:val="22"/>
        </w:rPr>
        <w:t xml:space="preserve"> In the interests of protecting the architectural significance of the designated heritage asset and character of the St Faiths Conservation Area to </w:t>
      </w:r>
      <w:r w:rsidRPr="00DA09AF">
        <w:rPr>
          <w:rFonts w:asciiTheme="minorHAnsi" w:hAnsiTheme="minorHAnsi" w:cstheme="minorHAnsi"/>
          <w:color w:val="000000"/>
          <w:sz w:val="22"/>
          <w:szCs w:val="22"/>
        </w:rPr>
        <w:t xml:space="preserve">secure a satisfactory and sympathetic form of development and having due regard to policy CS11 of the </w:t>
      </w:r>
      <w:r w:rsidRPr="00DA09AF">
        <w:rPr>
          <w:rFonts w:asciiTheme="minorHAnsi" w:hAnsiTheme="minorHAnsi" w:cstheme="minorHAnsi"/>
          <w:sz w:val="22"/>
          <w:szCs w:val="22"/>
        </w:rPr>
        <w:t>Havant Borough Local Plan (Core Strategy) 2011, Policy DM20 of the Havant Borough Local Plan (Allocations) 2014, and the National Planning Policy Framework.</w:t>
      </w:r>
    </w:p>
    <w:p w14:paraId="24263AE2" w14:textId="77777777" w:rsidR="00DA09AF" w:rsidRPr="00DA09AF" w:rsidRDefault="00DA09AF" w:rsidP="00DA09AF">
      <w:pPr>
        <w:pStyle w:val="Normal0"/>
        <w:jc w:val="both"/>
        <w:rPr>
          <w:rFonts w:asciiTheme="minorHAnsi" w:hAnsiTheme="minorHAnsi" w:cstheme="minorHAnsi"/>
          <w:b/>
          <w:bCs/>
          <w:color w:val="FF0000"/>
          <w:sz w:val="22"/>
          <w:szCs w:val="22"/>
        </w:rPr>
      </w:pPr>
    </w:p>
    <w:p w14:paraId="3F24E610" w14:textId="658A18D8" w:rsidR="00DA09AF" w:rsidRPr="00DA09AF" w:rsidRDefault="00DA09AF" w:rsidP="00DA09AF">
      <w:pPr>
        <w:pStyle w:val="ListParagraph"/>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color w:val="000000"/>
        </w:rPr>
      </w:pPr>
      <w:r w:rsidRPr="00DA09AF">
        <w:rPr>
          <w:rFonts w:cstheme="minorHAnsi"/>
          <w:color w:val="000000"/>
        </w:rPr>
        <w:t xml:space="preserve">No above ground construction works shall take place until details of any new windows, (including roof lights), and external doors have been submitted to and approved in writing by the Local Planning Authority. Such details shall include: </w:t>
      </w:r>
    </w:p>
    <w:p w14:paraId="059ABD3F" w14:textId="77777777" w:rsidR="00DA09AF" w:rsidRPr="00DA09AF" w:rsidRDefault="00DA09AF" w:rsidP="00DA0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color w:val="000000"/>
        </w:rPr>
      </w:pPr>
    </w:p>
    <w:p w14:paraId="1C5ACDAA" w14:textId="77777777" w:rsidR="00DA09AF" w:rsidRPr="00DA09AF" w:rsidRDefault="00DA09AF" w:rsidP="00DA0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ind w:left="720"/>
        <w:jc w:val="both"/>
        <w:rPr>
          <w:rFonts w:cstheme="minorHAnsi"/>
        </w:rPr>
      </w:pPr>
      <w:r w:rsidRPr="00DA09AF">
        <w:rPr>
          <w:rFonts w:cstheme="minorHAnsi"/>
        </w:rPr>
        <w:t>a)  a 1:20 plan, section and elevation shown in relation to the opening into which it is to be set,</w:t>
      </w:r>
    </w:p>
    <w:p w14:paraId="6290B9F0" w14:textId="77777777" w:rsidR="00DA09AF" w:rsidRPr="00DA09AF" w:rsidRDefault="00DA09AF" w:rsidP="00DA0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cstheme="minorHAnsi"/>
        </w:rPr>
      </w:pPr>
      <w:r w:rsidRPr="00DA09AF">
        <w:rPr>
          <w:rFonts w:cstheme="minorHAnsi"/>
        </w:rPr>
        <w:tab/>
        <w:t xml:space="preserve">b) full size glazing bar section, </w:t>
      </w:r>
    </w:p>
    <w:p w14:paraId="653A1B74" w14:textId="77777777" w:rsidR="00DA09AF" w:rsidRPr="00DA09AF" w:rsidRDefault="00DA09AF" w:rsidP="00DA0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cstheme="minorHAnsi"/>
        </w:rPr>
      </w:pPr>
      <w:r w:rsidRPr="00DA09AF">
        <w:rPr>
          <w:rFonts w:cstheme="minorHAnsi"/>
        </w:rPr>
        <w:tab/>
        <w:t xml:space="preserve">c) the method of opening and external finishes. </w:t>
      </w:r>
    </w:p>
    <w:p w14:paraId="013C273B" w14:textId="77777777" w:rsidR="00DA09AF" w:rsidRPr="00DA09AF" w:rsidRDefault="00DA09AF" w:rsidP="00DA0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cstheme="minorHAnsi"/>
          <w:b/>
          <w:bCs/>
          <w:color w:val="FF0000"/>
        </w:rPr>
      </w:pPr>
      <w:r w:rsidRPr="00DA09AF">
        <w:rPr>
          <w:rFonts w:cstheme="minorHAnsi"/>
        </w:rPr>
        <w:t>All works shall be carried out in full accordance with such approval and be retained thereafter.</w:t>
      </w:r>
    </w:p>
    <w:p w14:paraId="7BB9C019" w14:textId="77777777" w:rsidR="00DA09AF" w:rsidRPr="00DA09AF" w:rsidRDefault="00DA09AF" w:rsidP="00DA09AF">
      <w:pPr>
        <w:autoSpaceDE w:val="0"/>
        <w:autoSpaceDN w:val="0"/>
        <w:adjustRightInd w:val="0"/>
        <w:spacing w:after="0" w:line="240" w:lineRule="auto"/>
        <w:jc w:val="both"/>
        <w:rPr>
          <w:rFonts w:cstheme="minorHAnsi"/>
        </w:rPr>
      </w:pPr>
      <w:r w:rsidRPr="00DA09AF">
        <w:rPr>
          <w:rFonts w:cstheme="minorHAnsi"/>
          <w:b/>
          <w:bCs/>
          <w:color w:val="000000"/>
        </w:rPr>
        <w:t>Reason:</w:t>
      </w:r>
      <w:r w:rsidRPr="00DA09AF">
        <w:rPr>
          <w:rFonts w:cstheme="minorHAnsi"/>
          <w:b/>
          <w:bCs/>
          <w:color w:val="FF0000"/>
        </w:rPr>
        <w:t xml:space="preserve"> </w:t>
      </w:r>
      <w:r w:rsidRPr="00DA09AF">
        <w:rPr>
          <w:rFonts w:cstheme="minorHAnsi"/>
        </w:rPr>
        <w:t xml:space="preserve"> In the interests of protecting the architectural significance of the designated heritage asset and character of the St Faiths Conservation Area to </w:t>
      </w:r>
      <w:r w:rsidRPr="00DA09AF">
        <w:rPr>
          <w:rFonts w:cstheme="minorHAnsi"/>
          <w:color w:val="000000"/>
        </w:rPr>
        <w:t xml:space="preserve">secure a satisfactory and sympathetic form of development and having due regard to policy CS11 of the </w:t>
      </w:r>
      <w:r w:rsidRPr="00DA09AF">
        <w:rPr>
          <w:rFonts w:cstheme="minorHAnsi"/>
        </w:rPr>
        <w:t>Havant Borough Local Plan (Core Strategy) 2011, Policy DM20 of the Havant Borough Local Plan (Allocations) 2014, and the National Planning Policy Framework.</w:t>
      </w:r>
    </w:p>
    <w:p w14:paraId="471A6AD7" w14:textId="77777777" w:rsidR="00DE1009" w:rsidRPr="00DE1009" w:rsidRDefault="00DE1009" w:rsidP="00F86F4B">
      <w:pPr>
        <w:pStyle w:val="Default"/>
        <w:jc w:val="both"/>
        <w:rPr>
          <w:rFonts w:asciiTheme="minorHAnsi" w:hAnsiTheme="minorHAnsi" w:cstheme="minorHAnsi"/>
          <w:bCs/>
          <w:sz w:val="22"/>
          <w:szCs w:val="22"/>
        </w:rPr>
      </w:pPr>
    </w:p>
    <w:p w14:paraId="4EB37358" w14:textId="77777777" w:rsidR="004F4397" w:rsidRPr="00545376" w:rsidRDefault="004F4397" w:rsidP="004F4397">
      <w:pPr>
        <w:pStyle w:val="Default"/>
        <w:jc w:val="both"/>
        <w:rPr>
          <w:rFonts w:asciiTheme="minorHAnsi" w:hAnsiTheme="minorHAnsi" w:cstheme="minorHAnsi"/>
          <w:bCs/>
          <w:sz w:val="22"/>
          <w:szCs w:val="22"/>
        </w:rPr>
      </w:pPr>
    </w:p>
    <w:p w14:paraId="7DB7A5D9" w14:textId="096275D0" w:rsidR="00D626C3" w:rsidRDefault="00D626C3" w:rsidP="00F86F4B">
      <w:pPr>
        <w:pStyle w:val="Default"/>
        <w:jc w:val="both"/>
        <w:rPr>
          <w:rFonts w:asciiTheme="minorHAnsi" w:hAnsiTheme="minorHAnsi" w:cstheme="minorHAnsi"/>
          <w:b/>
          <w:sz w:val="22"/>
          <w:szCs w:val="22"/>
          <w:u w:val="single"/>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FFFFFFFF"/>
    <w:lvl w:ilvl="0">
      <w:start w:val="1"/>
      <w:numFmt w:val="decimal"/>
      <w:lvlText w:val="%1."/>
      <w:lvlJc w:val="left"/>
      <w:pPr>
        <w:ind w:left="360" w:hanging="360"/>
      </w:pPr>
      <w:rPr>
        <w:rFonts w:ascii="Arial" w:hAnsi="Arial" w:cs="Arial"/>
        <w:b w:val="0"/>
        <w:bCs w:val="0"/>
        <w:i w:val="0"/>
        <w:iCs w:val="0"/>
        <w:strike w:val="0"/>
        <w:color w:val="000000"/>
        <w:sz w:val="22"/>
        <w:szCs w:val="22"/>
        <w:u w:val="none"/>
      </w:rPr>
    </w:lvl>
  </w:abstractNum>
  <w:abstractNum w:abstractNumId="1" w15:restartNumberingAfterBreak="0">
    <w:nsid w:val="00F96C1B"/>
    <w:multiLevelType w:val="hybridMultilevel"/>
    <w:tmpl w:val="2B362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7430B"/>
    <w:multiLevelType w:val="hybridMultilevel"/>
    <w:tmpl w:val="23909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684315"/>
    <w:multiLevelType w:val="hybridMultilevel"/>
    <w:tmpl w:val="A1EED03A"/>
    <w:lvl w:ilvl="0" w:tplc="71F2F2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A17EF"/>
    <w:multiLevelType w:val="hybridMultilevel"/>
    <w:tmpl w:val="07B8654E"/>
    <w:lvl w:ilvl="0" w:tplc="A18E305E">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7F142A"/>
    <w:multiLevelType w:val="hybridMultilevel"/>
    <w:tmpl w:val="2A8EF7CE"/>
    <w:lvl w:ilvl="0" w:tplc="CACCA18C">
      <w:start w:val="1"/>
      <w:numFmt w:val="decimal"/>
      <w:lvlText w:val="%1."/>
      <w:lvlJc w:val="left"/>
      <w:pPr>
        <w:ind w:left="720" w:hanging="360"/>
      </w:pPr>
      <w:rPr>
        <w:rFonts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9E15AE"/>
    <w:multiLevelType w:val="hybridMultilevel"/>
    <w:tmpl w:val="C71887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6573BC"/>
    <w:multiLevelType w:val="hybridMultilevel"/>
    <w:tmpl w:val="9B52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04197"/>
    <w:multiLevelType w:val="hybridMultilevel"/>
    <w:tmpl w:val="E5F21284"/>
    <w:lvl w:ilvl="0" w:tplc="E09654C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396842"/>
    <w:multiLevelType w:val="hybridMultilevel"/>
    <w:tmpl w:val="69AEC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1C4AFF"/>
    <w:multiLevelType w:val="hybridMultilevel"/>
    <w:tmpl w:val="194267BE"/>
    <w:lvl w:ilvl="0" w:tplc="CA966B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533B46"/>
    <w:multiLevelType w:val="hybridMultilevel"/>
    <w:tmpl w:val="2FAAE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2673AD"/>
    <w:multiLevelType w:val="hybridMultilevel"/>
    <w:tmpl w:val="E4E6D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9"/>
  </w:num>
  <w:num w:numId="4" w16cid:durableId="1163668817">
    <w:abstractNumId w:val="8"/>
  </w:num>
  <w:num w:numId="5" w16cid:durableId="535698626">
    <w:abstractNumId w:val="7"/>
  </w:num>
  <w:num w:numId="6" w16cid:durableId="74518573">
    <w:abstractNumId w:val="16"/>
  </w:num>
  <w:num w:numId="7" w16cid:durableId="374933229">
    <w:abstractNumId w:val="20"/>
  </w:num>
  <w:num w:numId="8" w16cid:durableId="907615647">
    <w:abstractNumId w:val="15"/>
  </w:num>
  <w:num w:numId="9" w16cid:durableId="1637681123">
    <w:abstractNumId w:val="4"/>
  </w:num>
  <w:num w:numId="10" w16cid:durableId="385304237">
    <w:abstractNumId w:val="22"/>
  </w:num>
  <w:num w:numId="11" w16cid:durableId="796684453">
    <w:abstractNumId w:val="3"/>
  </w:num>
  <w:num w:numId="12" w16cid:durableId="399442752">
    <w:abstractNumId w:val="13"/>
  </w:num>
  <w:num w:numId="13" w16cid:durableId="1542203648">
    <w:abstractNumId w:val="1"/>
  </w:num>
  <w:num w:numId="14" w16cid:durableId="2066365119">
    <w:abstractNumId w:val="19"/>
  </w:num>
  <w:num w:numId="15" w16cid:durableId="280889410">
    <w:abstractNumId w:val="21"/>
  </w:num>
  <w:num w:numId="16" w16cid:durableId="29301914">
    <w:abstractNumId w:val="14"/>
  </w:num>
  <w:num w:numId="17" w16cid:durableId="1805536489">
    <w:abstractNumId w:val="10"/>
  </w:num>
  <w:num w:numId="18" w16cid:durableId="1595628011">
    <w:abstractNumId w:val="18"/>
  </w:num>
  <w:num w:numId="19" w16cid:durableId="1205748767">
    <w:abstractNumId w:val="2"/>
  </w:num>
  <w:num w:numId="20" w16cid:durableId="578251027">
    <w:abstractNumId w:val="5"/>
  </w:num>
  <w:num w:numId="21" w16cid:durableId="570965325">
    <w:abstractNumId w:val="12"/>
  </w:num>
  <w:num w:numId="22" w16cid:durableId="1146822899">
    <w:abstractNumId w:val="17"/>
  </w:num>
  <w:num w:numId="23" w16cid:durableId="2067605739">
    <w:abstractNumId w:val="0"/>
  </w:num>
  <w:num w:numId="24" w16cid:durableId="1341161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52456"/>
    <w:rsid w:val="00031E65"/>
    <w:rsid w:val="00034C74"/>
    <w:rsid w:val="00046471"/>
    <w:rsid w:val="000522DE"/>
    <w:rsid w:val="000B4157"/>
    <w:rsid w:val="000C2245"/>
    <w:rsid w:val="000C2B35"/>
    <w:rsid w:val="000D155D"/>
    <w:rsid w:val="000D6036"/>
    <w:rsid w:val="00123301"/>
    <w:rsid w:val="00183DFE"/>
    <w:rsid w:val="00187FF9"/>
    <w:rsid w:val="00197FEE"/>
    <w:rsid w:val="001C3AF7"/>
    <w:rsid w:val="001C4D79"/>
    <w:rsid w:val="001C75DA"/>
    <w:rsid w:val="001F385A"/>
    <w:rsid w:val="001F6208"/>
    <w:rsid w:val="002121C1"/>
    <w:rsid w:val="00272D95"/>
    <w:rsid w:val="00272FC3"/>
    <w:rsid w:val="00280006"/>
    <w:rsid w:val="002A3AA0"/>
    <w:rsid w:val="002A79BA"/>
    <w:rsid w:val="002B284B"/>
    <w:rsid w:val="002B3D0D"/>
    <w:rsid w:val="002D0D6B"/>
    <w:rsid w:val="002D1C4A"/>
    <w:rsid w:val="002D765C"/>
    <w:rsid w:val="00307608"/>
    <w:rsid w:val="0031030E"/>
    <w:rsid w:val="003253EF"/>
    <w:rsid w:val="00332A3A"/>
    <w:rsid w:val="00335BB1"/>
    <w:rsid w:val="00346F83"/>
    <w:rsid w:val="003506DF"/>
    <w:rsid w:val="00361FE7"/>
    <w:rsid w:val="00375278"/>
    <w:rsid w:val="00376316"/>
    <w:rsid w:val="00395DD0"/>
    <w:rsid w:val="003A3AC7"/>
    <w:rsid w:val="003F10F2"/>
    <w:rsid w:val="003F25F0"/>
    <w:rsid w:val="003F414D"/>
    <w:rsid w:val="003F76FA"/>
    <w:rsid w:val="004049AC"/>
    <w:rsid w:val="00410C73"/>
    <w:rsid w:val="00412C64"/>
    <w:rsid w:val="00440348"/>
    <w:rsid w:val="004542E1"/>
    <w:rsid w:val="00463D6A"/>
    <w:rsid w:val="004659F2"/>
    <w:rsid w:val="004A129E"/>
    <w:rsid w:val="004A7F62"/>
    <w:rsid w:val="004B1D0F"/>
    <w:rsid w:val="004C6F06"/>
    <w:rsid w:val="004F4397"/>
    <w:rsid w:val="004F6F64"/>
    <w:rsid w:val="00512EFE"/>
    <w:rsid w:val="0051464B"/>
    <w:rsid w:val="00516CA3"/>
    <w:rsid w:val="00525F1C"/>
    <w:rsid w:val="0053206B"/>
    <w:rsid w:val="0053206E"/>
    <w:rsid w:val="00545376"/>
    <w:rsid w:val="0056383F"/>
    <w:rsid w:val="00581BE8"/>
    <w:rsid w:val="0058224A"/>
    <w:rsid w:val="00584600"/>
    <w:rsid w:val="005A7B14"/>
    <w:rsid w:val="005C1632"/>
    <w:rsid w:val="00622171"/>
    <w:rsid w:val="0062389D"/>
    <w:rsid w:val="00624647"/>
    <w:rsid w:val="00662692"/>
    <w:rsid w:val="00673AA1"/>
    <w:rsid w:val="006855AA"/>
    <w:rsid w:val="0069659F"/>
    <w:rsid w:val="006A54BC"/>
    <w:rsid w:val="006A7AB9"/>
    <w:rsid w:val="006B5B64"/>
    <w:rsid w:val="006D49F2"/>
    <w:rsid w:val="006E6F28"/>
    <w:rsid w:val="006F2359"/>
    <w:rsid w:val="0074299C"/>
    <w:rsid w:val="007565B2"/>
    <w:rsid w:val="00781A72"/>
    <w:rsid w:val="0079447F"/>
    <w:rsid w:val="0079518A"/>
    <w:rsid w:val="007A35EF"/>
    <w:rsid w:val="007C7B38"/>
    <w:rsid w:val="00802435"/>
    <w:rsid w:val="00852456"/>
    <w:rsid w:val="00862FC1"/>
    <w:rsid w:val="008726D6"/>
    <w:rsid w:val="008761AD"/>
    <w:rsid w:val="0088508B"/>
    <w:rsid w:val="00887A40"/>
    <w:rsid w:val="00890752"/>
    <w:rsid w:val="008B0A38"/>
    <w:rsid w:val="008C6A89"/>
    <w:rsid w:val="008F4C3A"/>
    <w:rsid w:val="00900C86"/>
    <w:rsid w:val="00901AF2"/>
    <w:rsid w:val="0091676B"/>
    <w:rsid w:val="0092236B"/>
    <w:rsid w:val="00923637"/>
    <w:rsid w:val="00930C2D"/>
    <w:rsid w:val="009327D6"/>
    <w:rsid w:val="0095239C"/>
    <w:rsid w:val="00980463"/>
    <w:rsid w:val="00984F41"/>
    <w:rsid w:val="009A1A4A"/>
    <w:rsid w:val="009A6304"/>
    <w:rsid w:val="009B5847"/>
    <w:rsid w:val="009B7AC0"/>
    <w:rsid w:val="009C70D4"/>
    <w:rsid w:val="009D1641"/>
    <w:rsid w:val="009D3585"/>
    <w:rsid w:val="009E2F11"/>
    <w:rsid w:val="009F782C"/>
    <w:rsid w:val="00A02E84"/>
    <w:rsid w:val="00A07E34"/>
    <w:rsid w:val="00A111F1"/>
    <w:rsid w:val="00A20CAF"/>
    <w:rsid w:val="00A27442"/>
    <w:rsid w:val="00A54386"/>
    <w:rsid w:val="00A63170"/>
    <w:rsid w:val="00A71E05"/>
    <w:rsid w:val="00AB323F"/>
    <w:rsid w:val="00AC3571"/>
    <w:rsid w:val="00AD5038"/>
    <w:rsid w:val="00AE5E35"/>
    <w:rsid w:val="00AF1511"/>
    <w:rsid w:val="00AF354D"/>
    <w:rsid w:val="00B16D30"/>
    <w:rsid w:val="00B32D3E"/>
    <w:rsid w:val="00B42C4C"/>
    <w:rsid w:val="00B55D75"/>
    <w:rsid w:val="00B82954"/>
    <w:rsid w:val="00B90DFC"/>
    <w:rsid w:val="00B9507E"/>
    <w:rsid w:val="00B971B9"/>
    <w:rsid w:val="00BB7AEB"/>
    <w:rsid w:val="00BE1379"/>
    <w:rsid w:val="00BE1F2E"/>
    <w:rsid w:val="00BE360F"/>
    <w:rsid w:val="00BE59F6"/>
    <w:rsid w:val="00BF149A"/>
    <w:rsid w:val="00BF67AB"/>
    <w:rsid w:val="00C02690"/>
    <w:rsid w:val="00C05141"/>
    <w:rsid w:val="00C11393"/>
    <w:rsid w:val="00C2652D"/>
    <w:rsid w:val="00C3651E"/>
    <w:rsid w:val="00C52D67"/>
    <w:rsid w:val="00C55DF8"/>
    <w:rsid w:val="00C604EC"/>
    <w:rsid w:val="00CA11A3"/>
    <w:rsid w:val="00CC7B4C"/>
    <w:rsid w:val="00CD4C97"/>
    <w:rsid w:val="00CD7F8C"/>
    <w:rsid w:val="00CE4CC6"/>
    <w:rsid w:val="00D10755"/>
    <w:rsid w:val="00D12E15"/>
    <w:rsid w:val="00D2100D"/>
    <w:rsid w:val="00D36325"/>
    <w:rsid w:val="00D4474D"/>
    <w:rsid w:val="00D626C3"/>
    <w:rsid w:val="00D640E7"/>
    <w:rsid w:val="00DA09AF"/>
    <w:rsid w:val="00DA19B4"/>
    <w:rsid w:val="00DA4352"/>
    <w:rsid w:val="00DA716D"/>
    <w:rsid w:val="00DB3D7F"/>
    <w:rsid w:val="00DD38FB"/>
    <w:rsid w:val="00DE1009"/>
    <w:rsid w:val="00DF5B20"/>
    <w:rsid w:val="00E10CD5"/>
    <w:rsid w:val="00E171C6"/>
    <w:rsid w:val="00E236AF"/>
    <w:rsid w:val="00E307EA"/>
    <w:rsid w:val="00E31470"/>
    <w:rsid w:val="00E31B3A"/>
    <w:rsid w:val="00E343A9"/>
    <w:rsid w:val="00E436C1"/>
    <w:rsid w:val="00E57580"/>
    <w:rsid w:val="00E604DA"/>
    <w:rsid w:val="00E662F1"/>
    <w:rsid w:val="00E8381B"/>
    <w:rsid w:val="00EA43A9"/>
    <w:rsid w:val="00EA6368"/>
    <w:rsid w:val="00EC652C"/>
    <w:rsid w:val="00EF0C74"/>
    <w:rsid w:val="00F03AD4"/>
    <w:rsid w:val="00F06782"/>
    <w:rsid w:val="00F11B07"/>
    <w:rsid w:val="00F14AFD"/>
    <w:rsid w:val="00F45927"/>
    <w:rsid w:val="00F543E1"/>
    <w:rsid w:val="00F55D8A"/>
    <w:rsid w:val="00F84D3D"/>
    <w:rsid w:val="00F8531B"/>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docId w15:val="{A30B74F9-1C6F-4CAD-B2B5-E0A3EACD9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uiPriority w:val="99"/>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13080622">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 w:id="1347561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cp:lastPrinted>2023-08-24T09:44:00Z</cp:lastPrinted>
  <dcterms:created xsi:type="dcterms:W3CDTF">2024-07-31T09:48:00Z</dcterms:created>
  <dcterms:modified xsi:type="dcterms:W3CDTF">2024-07-31T10:21:00Z</dcterms:modified>
</cp:coreProperties>
</file>