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B90082" w14:textId="0A555A3D" w:rsidR="00167EF8" w:rsidRDefault="00167EF8">
      <w:pPr>
        <w:rPr>
          <w:rFonts w:ascii="Segoe UI" w:hAnsi="Segoe UI" w:cs="Segoe UI"/>
          <w:b/>
          <w:bCs/>
          <w:color w:val="242424"/>
          <w:shd w:val="clear" w:color="auto" w:fill="FFFFFF"/>
        </w:rPr>
      </w:pPr>
    </w:p>
    <w:p w14:paraId="4B279E5D" w14:textId="77777777" w:rsidR="00167EF8" w:rsidRPr="00167EF8" w:rsidRDefault="00167EF8" w:rsidP="00167EF8">
      <w:pPr>
        <w:pStyle w:val="NormalWeb"/>
        <w:rPr>
          <w:rFonts w:ascii="Arial" w:hAnsi="Arial" w:cs="Arial"/>
          <w:b/>
          <w:bCs/>
          <w:color w:val="000000"/>
        </w:rPr>
      </w:pPr>
      <w:r w:rsidRPr="00167EF8">
        <w:rPr>
          <w:rFonts w:ascii="Arial" w:hAnsi="Arial" w:cs="Arial"/>
          <w:b/>
          <w:bCs/>
          <w:color w:val="000000"/>
        </w:rPr>
        <w:t>APP/23/00488 Land East Of, College Road, Purbrook, Waterlooville</w:t>
      </w:r>
    </w:p>
    <w:p w14:paraId="49F328F5" w14:textId="77777777" w:rsidR="00167EF8" w:rsidRPr="00167EF8" w:rsidRDefault="00167EF8" w:rsidP="00167EF8">
      <w:pPr>
        <w:pStyle w:val="NormalWeb"/>
        <w:rPr>
          <w:rFonts w:ascii="Arial" w:hAnsi="Arial" w:cs="Arial"/>
          <w:color w:val="000000"/>
        </w:rPr>
      </w:pPr>
      <w:r w:rsidRPr="00167EF8">
        <w:rPr>
          <w:rFonts w:ascii="Arial" w:hAnsi="Arial" w:cs="Arial"/>
          <w:color w:val="000000"/>
        </w:rPr>
        <w:t xml:space="preserve">Application for mixed use residential development comprising 628 dwellings, community centre, allotments, public open space including play areas, new junction to College Road, related internal access road, </w:t>
      </w:r>
      <w:proofErr w:type="gramStart"/>
      <w:r w:rsidRPr="00167EF8">
        <w:rPr>
          <w:rFonts w:ascii="Arial" w:hAnsi="Arial" w:cs="Arial"/>
          <w:color w:val="000000"/>
        </w:rPr>
        <w:t>footways</w:t>
      </w:r>
      <w:proofErr w:type="gramEnd"/>
      <w:r w:rsidRPr="00167EF8">
        <w:rPr>
          <w:rFonts w:ascii="Arial" w:hAnsi="Arial" w:cs="Arial"/>
          <w:color w:val="000000"/>
        </w:rPr>
        <w:t xml:space="preserve"> and cycleways, pumping station and drainage basins.</w:t>
      </w:r>
    </w:p>
    <w:p w14:paraId="10770A4F" w14:textId="61E43CDE" w:rsidR="00167EF8" w:rsidRPr="00167EF8" w:rsidRDefault="00167EF8" w:rsidP="00167EF8">
      <w:pPr>
        <w:pStyle w:val="NormalWeb"/>
        <w:rPr>
          <w:rFonts w:ascii="Arial" w:hAnsi="Arial" w:cs="Arial"/>
          <w:color w:val="000000"/>
        </w:rPr>
      </w:pPr>
      <w:r w:rsidRPr="00167EF8">
        <w:rPr>
          <w:rFonts w:ascii="Arial" w:hAnsi="Arial" w:cs="Arial"/>
          <w:color w:val="000000"/>
        </w:rPr>
        <w:t xml:space="preserve">Comments - HBC </w:t>
      </w:r>
      <w:r w:rsidR="0076284F">
        <w:rPr>
          <w:rFonts w:ascii="Arial" w:hAnsi="Arial" w:cs="Arial"/>
          <w:color w:val="000000"/>
        </w:rPr>
        <w:t>Community Team</w:t>
      </w:r>
    </w:p>
    <w:p w14:paraId="077395EE" w14:textId="76673FF4" w:rsidR="00167EF8" w:rsidRPr="009D3F52" w:rsidRDefault="0076284F">
      <w:pPr>
        <w:rPr>
          <w:rFonts w:ascii="Arial" w:hAnsi="Arial" w:cs="Arial"/>
          <w:b/>
          <w:bCs/>
          <w:sz w:val="24"/>
          <w:szCs w:val="24"/>
        </w:rPr>
      </w:pPr>
      <w:r w:rsidRPr="009D3F52">
        <w:rPr>
          <w:rFonts w:ascii="Arial" w:hAnsi="Arial" w:cs="Arial"/>
          <w:b/>
          <w:bCs/>
          <w:sz w:val="24"/>
          <w:szCs w:val="24"/>
        </w:rPr>
        <w:t>Community Project Worker Contributions</w:t>
      </w:r>
    </w:p>
    <w:p w14:paraId="713B74F7" w14:textId="77777777" w:rsidR="009D3F52" w:rsidRPr="009D3F52" w:rsidRDefault="009D3F52" w:rsidP="009D3F52">
      <w:pPr>
        <w:pStyle w:val="NormalWeb"/>
        <w:rPr>
          <w:rFonts w:ascii="Arial" w:hAnsi="Arial" w:cs="Arial"/>
          <w:color w:val="000000"/>
        </w:rPr>
      </w:pPr>
      <w:r w:rsidRPr="009D3F52">
        <w:rPr>
          <w:rFonts w:ascii="Arial" w:hAnsi="Arial" w:cs="Arial"/>
          <w:color w:val="000000"/>
        </w:rPr>
        <w:t>Community, Cultural and Heritage Uses</w:t>
      </w:r>
    </w:p>
    <w:p w14:paraId="11031607" w14:textId="77777777" w:rsidR="009D3F52" w:rsidRPr="009D3F52" w:rsidRDefault="009D3F52" w:rsidP="009D3F52">
      <w:pPr>
        <w:pStyle w:val="NormalWeb"/>
        <w:rPr>
          <w:rFonts w:ascii="Arial" w:hAnsi="Arial" w:cs="Arial"/>
          <w:color w:val="000000"/>
        </w:rPr>
      </w:pPr>
      <w:r w:rsidRPr="009D3F52">
        <w:rPr>
          <w:rFonts w:ascii="Arial" w:hAnsi="Arial" w:cs="Arial"/>
          <w:color w:val="000000"/>
        </w:rPr>
        <w:t xml:space="preserve">5.46 Community, cultural and heritage uses will largely be funded or part funded through CIL. If a proposal affects an historic building, applicants are advised to contact the council’s conservation officer prior to submitting a planning application, as there may be site specific requirements which will need to be secured through a S106 planning agreement. In addition, larger developments may justify the need for specific infrastructure such as a community centre or a community worker. Applicants are encouraged to contact the council at the earliest opportunity. A Community Worker or Community Officer can be instrumental in providing essential liaison between the Developer, Council, </w:t>
      </w:r>
      <w:proofErr w:type="gramStart"/>
      <w:r w:rsidRPr="009D3F52">
        <w:rPr>
          <w:rFonts w:ascii="Arial" w:hAnsi="Arial" w:cs="Arial"/>
          <w:color w:val="000000"/>
        </w:rPr>
        <w:t>Councillors</w:t>
      </w:r>
      <w:proofErr w:type="gramEnd"/>
      <w:r w:rsidRPr="009D3F52">
        <w:rPr>
          <w:rFonts w:ascii="Arial" w:hAnsi="Arial" w:cs="Arial"/>
          <w:color w:val="000000"/>
        </w:rPr>
        <w:t xml:space="preserve"> and members of the public and will also assist in the integration of the proposed site with the existing community. For Community Workers for sites where there are 20 or more dwellings, the contribution is £300 per dwelling at 1/4/23 </w:t>
      </w:r>
      <w:proofErr w:type="gramStart"/>
      <w:r w:rsidRPr="009D3F52">
        <w:rPr>
          <w:rFonts w:ascii="Arial" w:hAnsi="Arial" w:cs="Arial"/>
          <w:color w:val="000000"/>
        </w:rPr>
        <w:t>( indexed</w:t>
      </w:r>
      <w:proofErr w:type="gramEnd"/>
      <w:r w:rsidRPr="009D3F52">
        <w:rPr>
          <w:rFonts w:ascii="Arial" w:hAnsi="Arial" w:cs="Arial"/>
          <w:color w:val="000000"/>
        </w:rPr>
        <w:t xml:space="preserve"> in accordance with the CPI). This flat rate applies to developments of up to 150 dwellings. For sites being delivered on a phased basis, or with more than 150 dwellings this should be regarded as a base figure and will be the subject of negotiation to ensure that the payment covers the duration of delivery of the site. The trigger for payment will be prior to commencement, however for larger sites this payment can be divided into separate instalments, the first payable prior to commencement. For particularly large or Strategic Sites there may be a need for a dedicated Community Worker.</w:t>
      </w:r>
    </w:p>
    <w:p w14:paraId="720D714B" w14:textId="42B448DD" w:rsidR="009D3F52" w:rsidRPr="009D3F52" w:rsidRDefault="009D3F52">
      <w:pPr>
        <w:rPr>
          <w:rFonts w:ascii="Arial" w:hAnsi="Arial" w:cs="Arial"/>
          <w:b/>
          <w:bCs/>
          <w:sz w:val="24"/>
          <w:szCs w:val="24"/>
        </w:rPr>
      </w:pPr>
      <w:r w:rsidRPr="009D3F52">
        <w:rPr>
          <w:rFonts w:ascii="Arial" w:hAnsi="Arial" w:cs="Arial"/>
          <w:b/>
          <w:bCs/>
          <w:sz w:val="24"/>
          <w:szCs w:val="24"/>
        </w:rPr>
        <w:t>Community Centre</w:t>
      </w:r>
    </w:p>
    <w:p w14:paraId="195C26B8" w14:textId="6B312823" w:rsidR="009D3F52" w:rsidRDefault="00AD40C3">
      <w:pPr>
        <w:rPr>
          <w:rFonts w:ascii="Arial" w:hAnsi="Arial" w:cs="Arial"/>
          <w:sz w:val="24"/>
          <w:szCs w:val="24"/>
        </w:rPr>
      </w:pPr>
      <w:r>
        <w:rPr>
          <w:rFonts w:ascii="Arial" w:hAnsi="Arial" w:cs="Arial"/>
          <w:sz w:val="24"/>
          <w:szCs w:val="24"/>
        </w:rPr>
        <w:t>The community centre is in the wrong location. It should be near the entrance to the development to prevent additional traffic travelling through the site. The car parking is insufficient 5 spaces are not adequate, this will cause conflict with residents.</w:t>
      </w:r>
    </w:p>
    <w:p w14:paraId="57DDC9EA" w14:textId="72BE1EF5" w:rsidR="000A18B6" w:rsidRDefault="000A18B6">
      <w:pPr>
        <w:rPr>
          <w:rFonts w:ascii="Arial" w:hAnsi="Arial" w:cs="Arial"/>
          <w:sz w:val="24"/>
          <w:szCs w:val="24"/>
        </w:rPr>
      </w:pPr>
      <w:r>
        <w:rPr>
          <w:rFonts w:ascii="Arial" w:hAnsi="Arial" w:cs="Arial"/>
          <w:sz w:val="24"/>
          <w:szCs w:val="24"/>
        </w:rPr>
        <w:t xml:space="preserve">The design of the floor plan does not allow for flexible multi use of the building. The suggestion of nursery provision will limit access to the building from other users. A multi-use space will increase the </w:t>
      </w:r>
      <w:r w:rsidR="00104D5C">
        <w:rPr>
          <w:rFonts w:ascii="Arial" w:hAnsi="Arial" w:cs="Arial"/>
          <w:sz w:val="24"/>
          <w:szCs w:val="24"/>
        </w:rPr>
        <w:t>long-term</w:t>
      </w:r>
      <w:r>
        <w:rPr>
          <w:rFonts w:ascii="Arial" w:hAnsi="Arial" w:cs="Arial"/>
          <w:sz w:val="24"/>
          <w:szCs w:val="24"/>
        </w:rPr>
        <w:t xml:space="preserve"> sustainability of the building.</w:t>
      </w:r>
    </w:p>
    <w:p w14:paraId="75E2841C" w14:textId="491A829E" w:rsidR="00AD40C3" w:rsidRDefault="00AD40C3">
      <w:pPr>
        <w:rPr>
          <w:rFonts w:ascii="Arial" w:hAnsi="Arial" w:cs="Arial"/>
          <w:sz w:val="24"/>
          <w:szCs w:val="24"/>
        </w:rPr>
      </w:pPr>
      <w:r>
        <w:rPr>
          <w:rFonts w:ascii="Arial" w:hAnsi="Arial" w:cs="Arial"/>
          <w:sz w:val="24"/>
          <w:szCs w:val="24"/>
        </w:rPr>
        <w:t>Careful consideration needs to be given to the sound proofing of the community centre as residential housing will be above it, again this has the potential to cause conflict.</w:t>
      </w:r>
    </w:p>
    <w:p w14:paraId="1911D3F9" w14:textId="77777777" w:rsidR="000A18B6" w:rsidRDefault="000A18B6">
      <w:pPr>
        <w:rPr>
          <w:rFonts w:ascii="Arial" w:hAnsi="Arial" w:cs="Arial"/>
          <w:sz w:val="24"/>
          <w:szCs w:val="24"/>
        </w:rPr>
      </w:pPr>
    </w:p>
    <w:p w14:paraId="42B83258" w14:textId="395C7CEE" w:rsidR="00AD40C3" w:rsidRDefault="00AD40C3">
      <w:pPr>
        <w:rPr>
          <w:rFonts w:ascii="Arial" w:hAnsi="Arial" w:cs="Arial"/>
          <w:b/>
          <w:bCs/>
          <w:sz w:val="24"/>
          <w:szCs w:val="24"/>
        </w:rPr>
      </w:pPr>
      <w:r w:rsidRPr="00AD40C3">
        <w:rPr>
          <w:rFonts w:ascii="Arial" w:hAnsi="Arial" w:cs="Arial"/>
          <w:b/>
          <w:bCs/>
          <w:sz w:val="24"/>
          <w:szCs w:val="24"/>
        </w:rPr>
        <w:lastRenderedPageBreak/>
        <w:t>Allotments</w:t>
      </w:r>
    </w:p>
    <w:p w14:paraId="2C318DAE" w14:textId="64E7AD69" w:rsidR="000A18B6" w:rsidRDefault="000A18B6">
      <w:pPr>
        <w:rPr>
          <w:rFonts w:ascii="Arial" w:hAnsi="Arial" w:cs="Arial"/>
          <w:sz w:val="24"/>
          <w:szCs w:val="24"/>
        </w:rPr>
      </w:pPr>
      <w:r w:rsidRPr="000A18B6">
        <w:rPr>
          <w:rFonts w:ascii="Arial" w:hAnsi="Arial" w:cs="Arial"/>
          <w:sz w:val="24"/>
          <w:szCs w:val="24"/>
        </w:rPr>
        <w:t>There</w:t>
      </w:r>
      <w:r>
        <w:rPr>
          <w:rFonts w:ascii="Arial" w:hAnsi="Arial" w:cs="Arial"/>
          <w:sz w:val="24"/>
          <w:szCs w:val="24"/>
        </w:rPr>
        <w:t xml:space="preserve"> is insufficient detail provided to allow for comment on this provision.</w:t>
      </w:r>
    </w:p>
    <w:p w14:paraId="0DEE6F7F" w14:textId="64C8F379" w:rsidR="000A18B6" w:rsidRPr="000A18B6" w:rsidRDefault="000A18B6">
      <w:pPr>
        <w:rPr>
          <w:rFonts w:ascii="Arial" w:hAnsi="Arial" w:cs="Arial"/>
          <w:sz w:val="24"/>
          <w:szCs w:val="24"/>
        </w:rPr>
      </w:pPr>
      <w:r>
        <w:rPr>
          <w:rFonts w:ascii="Arial" w:hAnsi="Arial" w:cs="Arial"/>
          <w:sz w:val="24"/>
          <w:szCs w:val="24"/>
        </w:rPr>
        <w:t>Careful consideration to design needs to be provided.</w:t>
      </w:r>
    </w:p>
    <w:p w14:paraId="08C67122" w14:textId="3B8CEEC3" w:rsidR="00AD40C3" w:rsidRDefault="000A18B6">
      <w:pPr>
        <w:rPr>
          <w:rFonts w:ascii="Arial" w:hAnsi="Arial" w:cs="Arial"/>
          <w:sz w:val="24"/>
          <w:szCs w:val="24"/>
        </w:rPr>
      </w:pPr>
      <w:r>
        <w:rPr>
          <w:rFonts w:ascii="Arial" w:hAnsi="Arial" w:cs="Arial"/>
          <w:sz w:val="24"/>
          <w:szCs w:val="24"/>
        </w:rPr>
        <w:t>When designed well allotments are an important community asset, which support health and wellbeing and encourage community integration.</w:t>
      </w:r>
    </w:p>
    <w:p w14:paraId="28B0762C" w14:textId="46A4E6F7" w:rsidR="000A18B6" w:rsidRDefault="000A18B6">
      <w:pPr>
        <w:rPr>
          <w:rFonts w:ascii="Arial" w:hAnsi="Arial" w:cs="Arial"/>
          <w:sz w:val="24"/>
          <w:szCs w:val="24"/>
        </w:rPr>
      </w:pPr>
      <w:r>
        <w:rPr>
          <w:rFonts w:ascii="Arial" w:hAnsi="Arial" w:cs="Arial"/>
          <w:sz w:val="24"/>
          <w:szCs w:val="24"/>
        </w:rPr>
        <w:t xml:space="preserve">Detail </w:t>
      </w:r>
      <w:r w:rsidR="005A7246">
        <w:rPr>
          <w:rFonts w:ascii="Arial" w:hAnsi="Arial" w:cs="Arial"/>
          <w:sz w:val="24"/>
          <w:szCs w:val="24"/>
        </w:rPr>
        <w:t>needs to be provided which</w:t>
      </w:r>
      <w:r>
        <w:rPr>
          <w:rFonts w:ascii="Arial" w:hAnsi="Arial" w:cs="Arial"/>
          <w:sz w:val="24"/>
          <w:szCs w:val="24"/>
        </w:rPr>
        <w:t xml:space="preserve"> include</w:t>
      </w:r>
      <w:r w:rsidR="005A7246">
        <w:rPr>
          <w:rFonts w:ascii="Arial" w:hAnsi="Arial" w:cs="Arial"/>
          <w:sz w:val="24"/>
          <w:szCs w:val="24"/>
        </w:rPr>
        <w:t>s</w:t>
      </w:r>
      <w:r>
        <w:rPr>
          <w:rFonts w:ascii="Arial" w:hAnsi="Arial" w:cs="Arial"/>
          <w:sz w:val="24"/>
          <w:szCs w:val="24"/>
        </w:rPr>
        <w:t>, the size of the plots, water points, rabbit proof fencing, storage/lock ups</w:t>
      </w:r>
      <w:r w:rsidR="00273B0D">
        <w:rPr>
          <w:rFonts w:ascii="Arial" w:hAnsi="Arial" w:cs="Arial"/>
          <w:sz w:val="24"/>
          <w:szCs w:val="24"/>
        </w:rPr>
        <w:t xml:space="preserve"> and adequate parking provision (4 spaces are not adequate)</w:t>
      </w:r>
    </w:p>
    <w:p w14:paraId="2AEB7646" w14:textId="26253426" w:rsidR="007D2A0E" w:rsidRDefault="007D2A0E" w:rsidP="007D2A0E">
      <w:pPr>
        <w:rPr>
          <w:rFonts w:ascii="Arial" w:hAnsi="Arial" w:cs="Arial"/>
          <w:sz w:val="24"/>
          <w:szCs w:val="24"/>
        </w:rPr>
      </w:pPr>
    </w:p>
    <w:p w14:paraId="7C4E4BAD" w14:textId="5E6C8542" w:rsidR="007D2A0E" w:rsidRPr="007D2A0E" w:rsidRDefault="007D2A0E" w:rsidP="007D2A0E">
      <w:pPr>
        <w:rPr>
          <w:rFonts w:ascii="Arial" w:hAnsi="Arial" w:cs="Arial"/>
          <w:b/>
          <w:bCs/>
          <w:sz w:val="24"/>
          <w:szCs w:val="24"/>
        </w:rPr>
      </w:pPr>
      <w:r w:rsidRPr="007D2A0E">
        <w:rPr>
          <w:rFonts w:ascii="Arial" w:hAnsi="Arial" w:cs="Arial"/>
          <w:b/>
          <w:bCs/>
          <w:sz w:val="24"/>
          <w:szCs w:val="24"/>
        </w:rPr>
        <w:t xml:space="preserve">Play Provision </w:t>
      </w:r>
    </w:p>
    <w:p w14:paraId="313F8CD8" w14:textId="233824A0" w:rsidR="007D2A0E" w:rsidRDefault="007D2A0E" w:rsidP="007D2A0E">
      <w:pPr>
        <w:rPr>
          <w:rFonts w:ascii="Arial" w:hAnsi="Arial" w:cs="Arial"/>
          <w:sz w:val="24"/>
          <w:szCs w:val="24"/>
        </w:rPr>
      </w:pPr>
      <w:r>
        <w:rPr>
          <w:rFonts w:ascii="Arial" w:hAnsi="Arial" w:cs="Arial"/>
          <w:sz w:val="24"/>
          <w:szCs w:val="24"/>
        </w:rPr>
        <w:t xml:space="preserve">Whilst quantity, typology and location of play spaces are rationalised, there is insufficient detail on the design of each </w:t>
      </w:r>
      <w:r w:rsidR="00CA74F9">
        <w:rPr>
          <w:rFonts w:ascii="Arial" w:hAnsi="Arial" w:cs="Arial"/>
          <w:sz w:val="24"/>
          <w:szCs w:val="24"/>
        </w:rPr>
        <w:t>area.</w:t>
      </w:r>
      <w:r w:rsidR="00124CE8">
        <w:rPr>
          <w:rFonts w:ascii="Arial" w:hAnsi="Arial" w:cs="Arial"/>
          <w:sz w:val="24"/>
          <w:szCs w:val="24"/>
        </w:rPr>
        <w:t xml:space="preserve"> Dimensions are required for each facility to confirm they meet minimum size requirements.</w:t>
      </w:r>
    </w:p>
    <w:p w14:paraId="1FADD00B" w14:textId="30D0E82F" w:rsidR="007D2A0E" w:rsidRDefault="007D2A0E" w:rsidP="007D2A0E">
      <w:pPr>
        <w:rPr>
          <w:rFonts w:ascii="Arial" w:hAnsi="Arial" w:cs="Arial"/>
          <w:sz w:val="24"/>
          <w:szCs w:val="24"/>
        </w:rPr>
      </w:pPr>
      <w:r>
        <w:rPr>
          <w:rFonts w:ascii="Arial" w:hAnsi="Arial" w:cs="Arial"/>
          <w:sz w:val="24"/>
          <w:szCs w:val="24"/>
        </w:rPr>
        <w:t xml:space="preserve">Consideration needs to be given to </w:t>
      </w:r>
      <w:r w:rsidR="00124CE8">
        <w:rPr>
          <w:rFonts w:ascii="Arial" w:hAnsi="Arial" w:cs="Arial"/>
          <w:sz w:val="24"/>
          <w:szCs w:val="24"/>
        </w:rPr>
        <w:t>the</w:t>
      </w:r>
      <w:r>
        <w:rPr>
          <w:rFonts w:ascii="Arial" w:hAnsi="Arial" w:cs="Arial"/>
          <w:sz w:val="24"/>
          <w:szCs w:val="24"/>
        </w:rPr>
        <w:t xml:space="preserve"> equipment mix to encourage all ages and abilities to enjoy the areas safely</w:t>
      </w:r>
      <w:r w:rsidR="00DE363B">
        <w:rPr>
          <w:rFonts w:ascii="Arial" w:hAnsi="Arial" w:cs="Arial"/>
          <w:sz w:val="24"/>
          <w:szCs w:val="24"/>
        </w:rPr>
        <w:t>, together</w:t>
      </w:r>
      <w:r>
        <w:rPr>
          <w:rFonts w:ascii="Arial" w:hAnsi="Arial" w:cs="Arial"/>
          <w:sz w:val="24"/>
          <w:szCs w:val="24"/>
        </w:rPr>
        <w:t xml:space="preserve">. </w:t>
      </w:r>
      <w:r w:rsidR="005E18A7">
        <w:rPr>
          <w:rFonts w:ascii="Arial" w:hAnsi="Arial" w:cs="Arial"/>
          <w:sz w:val="24"/>
          <w:szCs w:val="24"/>
        </w:rPr>
        <w:t>It should detail how each area is inclusive and accessible for all regardless of age or ability.</w:t>
      </w:r>
    </w:p>
    <w:p w14:paraId="6465EC61" w14:textId="12677ACA" w:rsidR="007D2A0E" w:rsidRDefault="007D2A0E" w:rsidP="007D2A0E">
      <w:pPr>
        <w:rPr>
          <w:rFonts w:ascii="Arial" w:hAnsi="Arial" w:cs="Arial"/>
          <w:sz w:val="24"/>
          <w:szCs w:val="24"/>
        </w:rPr>
      </w:pPr>
      <w:r>
        <w:rPr>
          <w:rFonts w:ascii="Arial" w:hAnsi="Arial" w:cs="Arial"/>
          <w:sz w:val="24"/>
          <w:szCs w:val="24"/>
        </w:rPr>
        <w:t xml:space="preserve">Detail should include the type of </w:t>
      </w:r>
      <w:r w:rsidR="00DE363B">
        <w:rPr>
          <w:rFonts w:ascii="Arial" w:hAnsi="Arial" w:cs="Arial"/>
          <w:sz w:val="24"/>
          <w:szCs w:val="24"/>
        </w:rPr>
        <w:t xml:space="preserve">play </w:t>
      </w:r>
      <w:r>
        <w:rPr>
          <w:rFonts w:ascii="Arial" w:hAnsi="Arial" w:cs="Arial"/>
          <w:sz w:val="24"/>
          <w:szCs w:val="24"/>
        </w:rPr>
        <w:t>equipment provided</w:t>
      </w:r>
      <w:r w:rsidR="00DE363B">
        <w:rPr>
          <w:rFonts w:ascii="Arial" w:hAnsi="Arial" w:cs="Arial"/>
          <w:sz w:val="24"/>
          <w:szCs w:val="24"/>
        </w:rPr>
        <w:t xml:space="preserve"> and </w:t>
      </w:r>
      <w:r>
        <w:rPr>
          <w:rFonts w:ascii="Arial" w:hAnsi="Arial" w:cs="Arial"/>
          <w:sz w:val="24"/>
          <w:szCs w:val="24"/>
        </w:rPr>
        <w:t xml:space="preserve">its </w:t>
      </w:r>
      <w:r w:rsidR="00DE363B">
        <w:rPr>
          <w:rFonts w:ascii="Arial" w:hAnsi="Arial" w:cs="Arial"/>
          <w:sz w:val="24"/>
          <w:szCs w:val="24"/>
        </w:rPr>
        <w:t xml:space="preserve">level of </w:t>
      </w:r>
      <w:r>
        <w:rPr>
          <w:rFonts w:ascii="Arial" w:hAnsi="Arial" w:cs="Arial"/>
          <w:sz w:val="24"/>
          <w:szCs w:val="24"/>
        </w:rPr>
        <w:t xml:space="preserve">play value. </w:t>
      </w:r>
      <w:r w:rsidR="00DE363B">
        <w:rPr>
          <w:rFonts w:ascii="Arial" w:hAnsi="Arial" w:cs="Arial"/>
          <w:sz w:val="24"/>
          <w:szCs w:val="24"/>
        </w:rPr>
        <w:t xml:space="preserve">It should </w:t>
      </w:r>
      <w:r w:rsidR="005E18A7">
        <w:rPr>
          <w:rFonts w:ascii="Arial" w:hAnsi="Arial" w:cs="Arial"/>
          <w:sz w:val="24"/>
          <w:szCs w:val="24"/>
        </w:rPr>
        <w:t>explain</w:t>
      </w:r>
      <w:r w:rsidR="00DE363B">
        <w:rPr>
          <w:rFonts w:ascii="Arial" w:hAnsi="Arial" w:cs="Arial"/>
          <w:sz w:val="24"/>
          <w:szCs w:val="24"/>
        </w:rPr>
        <w:t xml:space="preserve"> the </w:t>
      </w:r>
      <w:r w:rsidR="00124CE8">
        <w:rPr>
          <w:rFonts w:ascii="Arial" w:hAnsi="Arial" w:cs="Arial"/>
          <w:sz w:val="24"/>
          <w:szCs w:val="24"/>
        </w:rPr>
        <w:t xml:space="preserve">types of play </w:t>
      </w:r>
      <w:proofErr w:type="gramStart"/>
      <w:r w:rsidR="00124CE8">
        <w:rPr>
          <w:rFonts w:ascii="Arial" w:hAnsi="Arial" w:cs="Arial"/>
          <w:sz w:val="24"/>
          <w:szCs w:val="24"/>
        </w:rPr>
        <w:t>experience;</w:t>
      </w:r>
      <w:proofErr w:type="gramEnd"/>
      <w:r w:rsidR="00124CE8">
        <w:rPr>
          <w:rFonts w:ascii="Arial" w:hAnsi="Arial" w:cs="Arial"/>
          <w:sz w:val="24"/>
          <w:szCs w:val="24"/>
        </w:rPr>
        <w:t xml:space="preserve"> </w:t>
      </w:r>
      <w:r w:rsidR="00DE363B">
        <w:rPr>
          <w:rFonts w:ascii="Arial" w:hAnsi="Arial" w:cs="Arial"/>
          <w:sz w:val="24"/>
          <w:szCs w:val="24"/>
        </w:rPr>
        <w:t>such as</w:t>
      </w:r>
      <w:r>
        <w:rPr>
          <w:rFonts w:ascii="Arial" w:hAnsi="Arial" w:cs="Arial"/>
          <w:sz w:val="24"/>
          <w:szCs w:val="24"/>
        </w:rPr>
        <w:t xml:space="preserve"> spinning, swinging, climbing</w:t>
      </w:r>
      <w:r w:rsidR="00CA74F9">
        <w:rPr>
          <w:rFonts w:ascii="Arial" w:hAnsi="Arial" w:cs="Arial"/>
          <w:sz w:val="24"/>
          <w:szCs w:val="24"/>
        </w:rPr>
        <w:t>, bouncing</w:t>
      </w:r>
      <w:r w:rsidR="005E18A7">
        <w:rPr>
          <w:rFonts w:ascii="Arial" w:hAnsi="Arial" w:cs="Arial"/>
          <w:sz w:val="24"/>
          <w:szCs w:val="24"/>
        </w:rPr>
        <w:t xml:space="preserve"> and any</w:t>
      </w:r>
      <w:r>
        <w:rPr>
          <w:rFonts w:ascii="Arial" w:hAnsi="Arial" w:cs="Arial"/>
          <w:sz w:val="24"/>
          <w:szCs w:val="24"/>
        </w:rPr>
        <w:t xml:space="preserve"> sensory provision</w:t>
      </w:r>
      <w:r w:rsidR="005E18A7">
        <w:rPr>
          <w:rFonts w:ascii="Arial" w:hAnsi="Arial" w:cs="Arial"/>
          <w:sz w:val="24"/>
          <w:szCs w:val="24"/>
        </w:rPr>
        <w:t>.</w:t>
      </w:r>
      <w:r w:rsidR="00124CE8">
        <w:rPr>
          <w:rFonts w:ascii="Arial" w:hAnsi="Arial" w:cs="Arial"/>
          <w:sz w:val="24"/>
          <w:szCs w:val="24"/>
        </w:rPr>
        <w:t xml:space="preserve">  </w:t>
      </w:r>
    </w:p>
    <w:p w14:paraId="28EB1AF3" w14:textId="2B63021E" w:rsidR="00DE363B" w:rsidRDefault="007D2A0E" w:rsidP="007D2A0E">
      <w:pPr>
        <w:rPr>
          <w:rFonts w:ascii="Arial" w:hAnsi="Arial" w:cs="Arial"/>
          <w:sz w:val="24"/>
          <w:szCs w:val="24"/>
        </w:rPr>
      </w:pPr>
      <w:r>
        <w:rPr>
          <w:rFonts w:ascii="Arial" w:hAnsi="Arial" w:cs="Arial"/>
          <w:sz w:val="24"/>
          <w:szCs w:val="24"/>
        </w:rPr>
        <w:t xml:space="preserve">Further details should be provided on the robustness of materials </w:t>
      </w:r>
      <w:r w:rsidR="00DE363B">
        <w:rPr>
          <w:rFonts w:ascii="Arial" w:hAnsi="Arial" w:cs="Arial"/>
          <w:sz w:val="24"/>
          <w:szCs w:val="24"/>
        </w:rPr>
        <w:t xml:space="preserve">to </w:t>
      </w:r>
      <w:r>
        <w:rPr>
          <w:rFonts w:ascii="Arial" w:hAnsi="Arial" w:cs="Arial"/>
          <w:sz w:val="24"/>
          <w:szCs w:val="24"/>
        </w:rPr>
        <w:t>used, the</w:t>
      </w:r>
      <w:r w:rsidR="00DE363B">
        <w:rPr>
          <w:rFonts w:ascii="Arial" w:hAnsi="Arial" w:cs="Arial"/>
          <w:sz w:val="24"/>
          <w:szCs w:val="24"/>
        </w:rPr>
        <w:t>ir life expectancy, types of</w:t>
      </w:r>
      <w:r>
        <w:rPr>
          <w:rFonts w:ascii="Arial" w:hAnsi="Arial" w:cs="Arial"/>
          <w:sz w:val="24"/>
          <w:szCs w:val="24"/>
        </w:rPr>
        <w:t xml:space="preserve"> </w:t>
      </w:r>
      <w:r w:rsidR="005E18A7">
        <w:rPr>
          <w:rFonts w:ascii="Arial" w:hAnsi="Arial" w:cs="Arial"/>
          <w:sz w:val="24"/>
          <w:szCs w:val="24"/>
        </w:rPr>
        <w:t xml:space="preserve">safety </w:t>
      </w:r>
      <w:r>
        <w:rPr>
          <w:rFonts w:ascii="Arial" w:hAnsi="Arial" w:cs="Arial"/>
          <w:sz w:val="24"/>
          <w:szCs w:val="24"/>
        </w:rPr>
        <w:t>surfacing</w:t>
      </w:r>
      <w:r w:rsidR="00DE363B">
        <w:rPr>
          <w:rFonts w:ascii="Arial" w:hAnsi="Arial" w:cs="Arial"/>
          <w:sz w:val="24"/>
          <w:szCs w:val="24"/>
        </w:rPr>
        <w:t xml:space="preserve"> and </w:t>
      </w:r>
      <w:r w:rsidR="005E18A7">
        <w:rPr>
          <w:rFonts w:ascii="Arial" w:hAnsi="Arial" w:cs="Arial"/>
          <w:sz w:val="24"/>
          <w:szCs w:val="24"/>
        </w:rPr>
        <w:t xml:space="preserve">whether fencing and gates are used. </w:t>
      </w:r>
    </w:p>
    <w:p w14:paraId="6680632D" w14:textId="37D0CA3A" w:rsidR="007D2A0E" w:rsidRDefault="00DE363B" w:rsidP="007D2A0E">
      <w:pPr>
        <w:rPr>
          <w:rFonts w:ascii="Arial" w:hAnsi="Arial" w:cs="Arial"/>
          <w:sz w:val="24"/>
          <w:szCs w:val="24"/>
        </w:rPr>
      </w:pPr>
      <w:r>
        <w:rPr>
          <w:rFonts w:ascii="Arial" w:hAnsi="Arial" w:cs="Arial"/>
          <w:sz w:val="24"/>
          <w:szCs w:val="24"/>
        </w:rPr>
        <w:t>Detail should also be provided on the a</w:t>
      </w:r>
      <w:r w:rsidR="007D2A0E">
        <w:rPr>
          <w:rFonts w:ascii="Arial" w:hAnsi="Arial" w:cs="Arial"/>
          <w:sz w:val="24"/>
          <w:szCs w:val="24"/>
        </w:rPr>
        <w:t xml:space="preserve">ncillary items </w:t>
      </w:r>
      <w:r>
        <w:rPr>
          <w:rFonts w:ascii="Arial" w:hAnsi="Arial" w:cs="Arial"/>
          <w:sz w:val="24"/>
          <w:szCs w:val="24"/>
        </w:rPr>
        <w:t xml:space="preserve">to be provided </w:t>
      </w:r>
      <w:r w:rsidR="007D2A0E">
        <w:rPr>
          <w:rFonts w:ascii="Arial" w:hAnsi="Arial" w:cs="Arial"/>
          <w:sz w:val="24"/>
          <w:szCs w:val="24"/>
        </w:rPr>
        <w:t xml:space="preserve">such as </w:t>
      </w:r>
      <w:r w:rsidR="00124CE8">
        <w:rPr>
          <w:rFonts w:ascii="Arial" w:hAnsi="Arial" w:cs="Arial"/>
          <w:sz w:val="24"/>
          <w:szCs w:val="24"/>
        </w:rPr>
        <w:t xml:space="preserve">number and location of </w:t>
      </w:r>
      <w:r w:rsidR="007D2A0E">
        <w:rPr>
          <w:rFonts w:ascii="Arial" w:hAnsi="Arial" w:cs="Arial"/>
          <w:sz w:val="24"/>
          <w:szCs w:val="24"/>
        </w:rPr>
        <w:t>bins, seating areas and bike storage.</w:t>
      </w:r>
    </w:p>
    <w:p w14:paraId="3F3122DC" w14:textId="700664B6" w:rsidR="00DE363B" w:rsidRDefault="00DE363B" w:rsidP="007D2A0E">
      <w:pPr>
        <w:rPr>
          <w:rFonts w:ascii="Arial" w:hAnsi="Arial" w:cs="Arial"/>
          <w:sz w:val="24"/>
          <w:szCs w:val="24"/>
        </w:rPr>
      </w:pPr>
      <w:r>
        <w:rPr>
          <w:rFonts w:ascii="Arial" w:hAnsi="Arial" w:cs="Arial"/>
          <w:sz w:val="24"/>
          <w:szCs w:val="24"/>
        </w:rPr>
        <w:t xml:space="preserve">Consideration should be given to locating the primary </w:t>
      </w:r>
      <w:r w:rsidR="001D11CB">
        <w:rPr>
          <w:rFonts w:ascii="Arial" w:hAnsi="Arial" w:cs="Arial"/>
          <w:sz w:val="24"/>
          <w:szCs w:val="24"/>
        </w:rPr>
        <w:t xml:space="preserve">NEAP </w:t>
      </w:r>
      <w:r>
        <w:rPr>
          <w:rFonts w:ascii="Arial" w:hAnsi="Arial" w:cs="Arial"/>
          <w:sz w:val="24"/>
          <w:szCs w:val="24"/>
        </w:rPr>
        <w:t xml:space="preserve">play space next to the community centre, to maximise </w:t>
      </w:r>
      <w:r w:rsidR="00CA74F9">
        <w:rPr>
          <w:rFonts w:ascii="Arial" w:hAnsi="Arial" w:cs="Arial"/>
          <w:sz w:val="24"/>
          <w:szCs w:val="24"/>
        </w:rPr>
        <w:t>the us</w:t>
      </w:r>
      <w:r w:rsidR="00124CE8">
        <w:rPr>
          <w:rFonts w:ascii="Arial" w:hAnsi="Arial" w:cs="Arial"/>
          <w:sz w:val="24"/>
          <w:szCs w:val="24"/>
        </w:rPr>
        <w:t>e</w:t>
      </w:r>
      <w:r w:rsidR="00CA74F9">
        <w:rPr>
          <w:rFonts w:ascii="Arial" w:hAnsi="Arial" w:cs="Arial"/>
          <w:sz w:val="24"/>
          <w:szCs w:val="24"/>
        </w:rPr>
        <w:t xml:space="preserve"> of </w:t>
      </w:r>
      <w:r w:rsidR="005E18A7">
        <w:rPr>
          <w:rFonts w:ascii="Arial" w:hAnsi="Arial" w:cs="Arial"/>
          <w:sz w:val="24"/>
          <w:szCs w:val="24"/>
        </w:rPr>
        <w:t xml:space="preserve">both facilities </w:t>
      </w:r>
      <w:r w:rsidR="00124CE8">
        <w:rPr>
          <w:rFonts w:ascii="Arial" w:hAnsi="Arial" w:cs="Arial"/>
          <w:sz w:val="24"/>
          <w:szCs w:val="24"/>
        </w:rPr>
        <w:t xml:space="preserve">and </w:t>
      </w:r>
      <w:r w:rsidR="005E18A7">
        <w:rPr>
          <w:rFonts w:ascii="Arial" w:hAnsi="Arial" w:cs="Arial"/>
          <w:sz w:val="24"/>
          <w:szCs w:val="24"/>
        </w:rPr>
        <w:t>allow users of the play area</w:t>
      </w:r>
      <w:r w:rsidR="00124CE8">
        <w:rPr>
          <w:rFonts w:ascii="Arial" w:hAnsi="Arial" w:cs="Arial"/>
          <w:sz w:val="24"/>
          <w:szCs w:val="24"/>
        </w:rPr>
        <w:t xml:space="preserve"> </w:t>
      </w:r>
      <w:r w:rsidR="005E18A7">
        <w:rPr>
          <w:rFonts w:ascii="Arial" w:hAnsi="Arial" w:cs="Arial"/>
          <w:sz w:val="24"/>
          <w:szCs w:val="24"/>
        </w:rPr>
        <w:t xml:space="preserve">to </w:t>
      </w:r>
      <w:r w:rsidR="00124CE8">
        <w:rPr>
          <w:rFonts w:ascii="Arial" w:hAnsi="Arial" w:cs="Arial"/>
          <w:sz w:val="24"/>
          <w:szCs w:val="24"/>
        </w:rPr>
        <w:t>access toilet facilities.</w:t>
      </w:r>
      <w:r w:rsidR="005E18A7">
        <w:rPr>
          <w:rFonts w:ascii="Arial" w:hAnsi="Arial" w:cs="Arial"/>
          <w:sz w:val="24"/>
          <w:szCs w:val="24"/>
        </w:rPr>
        <w:t xml:space="preserve"> </w:t>
      </w:r>
    </w:p>
    <w:p w14:paraId="06A8B148" w14:textId="3F1B3682" w:rsidR="00124CE8" w:rsidRPr="00124CE8" w:rsidRDefault="00124CE8" w:rsidP="00124CE8">
      <w:pPr>
        <w:rPr>
          <w:rFonts w:ascii="Arial" w:hAnsi="Arial" w:cs="Arial"/>
          <w:sz w:val="24"/>
          <w:szCs w:val="24"/>
        </w:rPr>
      </w:pPr>
      <w:r>
        <w:rPr>
          <w:rFonts w:ascii="Arial" w:hAnsi="Arial" w:cs="Arial"/>
          <w:sz w:val="24"/>
          <w:szCs w:val="24"/>
        </w:rPr>
        <w:t xml:space="preserve">Fields in trust guidance suggest that for a development of this scale, a </w:t>
      </w:r>
      <w:proofErr w:type="spellStart"/>
      <w:r>
        <w:rPr>
          <w:rFonts w:ascii="Arial" w:hAnsi="Arial" w:cs="Arial"/>
          <w:sz w:val="24"/>
          <w:szCs w:val="24"/>
        </w:rPr>
        <w:t>multi use</w:t>
      </w:r>
      <w:proofErr w:type="spellEnd"/>
      <w:r>
        <w:rPr>
          <w:rFonts w:ascii="Arial" w:hAnsi="Arial" w:cs="Arial"/>
          <w:sz w:val="24"/>
          <w:szCs w:val="24"/>
        </w:rPr>
        <w:t xml:space="preserve"> games area should be provided, in addition to the play areas. This again should be located near to the NEAP and Community Centre. </w:t>
      </w:r>
    </w:p>
    <w:sectPr w:rsidR="00124CE8" w:rsidRPr="00124CE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15E"/>
    <w:rsid w:val="000A18B6"/>
    <w:rsid w:val="00104D5C"/>
    <w:rsid w:val="00124CE8"/>
    <w:rsid w:val="00167EF8"/>
    <w:rsid w:val="001D11CB"/>
    <w:rsid w:val="00273B0D"/>
    <w:rsid w:val="002F715E"/>
    <w:rsid w:val="00433BE7"/>
    <w:rsid w:val="005A7246"/>
    <w:rsid w:val="005E18A7"/>
    <w:rsid w:val="0076284F"/>
    <w:rsid w:val="007D2A0E"/>
    <w:rsid w:val="00840402"/>
    <w:rsid w:val="009D3F52"/>
    <w:rsid w:val="00AD40C3"/>
    <w:rsid w:val="00CA74F9"/>
    <w:rsid w:val="00DE363B"/>
    <w:rsid w:val="00F308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97084"/>
  <w15:chartTrackingRefBased/>
  <w15:docId w15:val="{1F303717-0B93-481E-AD3C-9CF05CEDD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67EF8"/>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9052789">
      <w:bodyDiv w:val="1"/>
      <w:marLeft w:val="0"/>
      <w:marRight w:val="0"/>
      <w:marTop w:val="0"/>
      <w:marBottom w:val="0"/>
      <w:divBdr>
        <w:top w:val="none" w:sz="0" w:space="0" w:color="auto"/>
        <w:left w:val="none" w:sz="0" w:space="0" w:color="auto"/>
        <w:bottom w:val="none" w:sz="0" w:space="0" w:color="auto"/>
        <w:right w:val="none" w:sz="0" w:space="0" w:color="auto"/>
      </w:divBdr>
    </w:div>
    <w:div w:id="1946964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675</Words>
  <Characters>3852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Vear, Tracy</dc:creator>
  <cp:keywords/>
  <dc:description/>
  <cp:lastModifiedBy>Miszewska, Arleta</cp:lastModifiedBy>
  <cp:revision>2</cp:revision>
  <dcterms:created xsi:type="dcterms:W3CDTF">2023-08-14T09:16:00Z</dcterms:created>
  <dcterms:modified xsi:type="dcterms:W3CDTF">2023-08-14T09:16:00Z</dcterms:modified>
</cp:coreProperties>
</file>