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BB40E" w14:textId="7AA20BD4" w:rsidR="007B7D2B" w:rsidRDefault="00CC0CFD">
      <w:pPr>
        <w:rPr>
          <w:lang w:val="en-US"/>
        </w:rPr>
      </w:pPr>
      <w:r>
        <w:rPr>
          <w:lang w:val="en-US"/>
        </w:rPr>
        <w:t>Supporting</w:t>
      </w:r>
      <w:r w:rsidR="00DA01D5">
        <w:rPr>
          <w:lang w:val="en-US"/>
        </w:rPr>
        <w:t xml:space="preserve"> measures</w:t>
      </w:r>
    </w:p>
    <w:p w14:paraId="29D9A443" w14:textId="749FBFE4" w:rsidR="00DA01D5" w:rsidRDefault="00DA01D5" w:rsidP="00DA01D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floor level of the extensions will match the current floor level of the existing property and WILL NOT be any lower – see proposed elevations submitted.</w:t>
      </w:r>
    </w:p>
    <w:p w14:paraId="7BEED2A6" w14:textId="39B4D3F8" w:rsidR="00DA01D5" w:rsidRDefault="00CC0CFD" w:rsidP="00DA01D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floor &amp; walls will be constructed using the preferred construction methods outlined in the ‘Improving the flood performance of new buildings’</w:t>
      </w:r>
    </w:p>
    <w:p w14:paraId="20B02117" w14:textId="54F9C2A5" w:rsidR="00CC0CFD" w:rsidRPr="00DA01D5" w:rsidRDefault="00CC0CFD" w:rsidP="00DA01D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electrical sockets will be set to a minimum of 450mm above finished floor level.</w:t>
      </w:r>
    </w:p>
    <w:sectPr w:rsidR="00CC0CFD" w:rsidRPr="00DA0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466E01"/>
    <w:multiLevelType w:val="hybridMultilevel"/>
    <w:tmpl w:val="E1F61E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77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D5"/>
    <w:rsid w:val="001B28FE"/>
    <w:rsid w:val="007B7D2B"/>
    <w:rsid w:val="00CC0CFD"/>
    <w:rsid w:val="00DA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1D56"/>
  <w15:chartTrackingRefBased/>
  <w15:docId w15:val="{8482B21D-EE2E-4F02-8B95-3ED533E3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1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1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1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1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Brock</dc:creator>
  <cp:keywords/>
  <dc:description/>
  <cp:lastModifiedBy>Julie Brock</cp:lastModifiedBy>
  <cp:revision>1</cp:revision>
  <dcterms:created xsi:type="dcterms:W3CDTF">2024-07-30T13:36:00Z</dcterms:created>
  <dcterms:modified xsi:type="dcterms:W3CDTF">2024-07-30T14:05:00Z</dcterms:modified>
</cp:coreProperties>
</file>