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8072" w14:textId="21383C70" w:rsidR="008C6D1F" w:rsidRDefault="008C6D1F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  <w:r w:rsidRPr="008C6D1F">
        <w:rPr>
          <w:rStyle w:val="fontstyle21"/>
          <w:rFonts w:ascii="Arial" w:hAnsi="Arial" w:cs="Arial"/>
          <w:b/>
        </w:rPr>
        <w:t>APP/2</w:t>
      </w:r>
      <w:r w:rsidR="00B42EC3">
        <w:rPr>
          <w:rStyle w:val="fontstyle21"/>
          <w:rFonts w:ascii="Arial" w:hAnsi="Arial" w:cs="Arial"/>
          <w:b/>
        </w:rPr>
        <w:t>1/01010</w:t>
      </w:r>
      <w:r w:rsidRPr="008C6D1F">
        <w:rPr>
          <w:rStyle w:val="fontstyle21"/>
          <w:rFonts w:ascii="Arial" w:hAnsi="Arial" w:cs="Arial"/>
          <w:b/>
        </w:rPr>
        <w:t xml:space="preserve"> </w:t>
      </w:r>
      <w:r w:rsidR="00B42EC3" w:rsidRPr="00B42EC3">
        <w:rPr>
          <w:rStyle w:val="fontstyle21"/>
          <w:rFonts w:ascii="Arial" w:hAnsi="Arial" w:cs="Arial"/>
          <w:b/>
        </w:rPr>
        <w:t>Land east of, St Georges Avenue, Havant</w:t>
      </w:r>
    </w:p>
    <w:p w14:paraId="05735A99" w14:textId="77777777" w:rsidR="00B42EC3" w:rsidRDefault="00B42EC3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B3F0E1" w14:textId="289FFA90" w:rsidR="00556980" w:rsidRDefault="007A427A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DM Sans" w:hAnsi="DM Sans"/>
          <w:color w:val="000000"/>
          <w:shd w:val="clear" w:color="auto" w:fill="FFFFFF"/>
        </w:rPr>
      </w:pPr>
      <w:r>
        <w:rPr>
          <w:rFonts w:ascii="DM Sans" w:hAnsi="DM Sans"/>
          <w:color w:val="000000"/>
          <w:shd w:val="clear" w:color="auto" w:fill="FFFFFF"/>
        </w:rPr>
        <w:t>Erection of 184 No. dwellings, (no. of dwellings reduced from 194) means of access, public open space, play areas, associated infrastructure and landscaping.</w:t>
      </w:r>
    </w:p>
    <w:p w14:paraId="1C5C32AB" w14:textId="1810811F" w:rsidR="007A427A" w:rsidRDefault="007A427A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DM Sans" w:hAnsi="DM Sans"/>
          <w:color w:val="000000"/>
          <w:shd w:val="clear" w:color="auto" w:fill="FFFFFF"/>
        </w:rPr>
      </w:pPr>
    </w:p>
    <w:p w14:paraId="7ED7707D" w14:textId="2A773233" w:rsidR="00D81304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99DEE7C" w14:textId="44472AD6" w:rsidR="00516871" w:rsidRPr="00FA0DE5" w:rsidRDefault="00516871" w:rsidP="00516871">
      <w:pPr>
        <w:spacing w:line="240" w:lineRule="auto"/>
        <w:rPr>
          <w:rFonts w:ascii="Arial" w:hAnsi="Arial" w:cs="Arial"/>
        </w:rPr>
      </w:pPr>
      <w:r w:rsidRPr="00FA0DE5">
        <w:rPr>
          <w:rFonts w:ascii="Arial" w:hAnsi="Arial" w:cs="Arial"/>
        </w:rPr>
        <w:t xml:space="preserve">The CIL rate is set out in our Charging Schedule: </w:t>
      </w:r>
      <w:hyperlink r:id="rId7" w:history="1">
        <w:hyperlink r:id="rId8" w:history="1">
          <w:r w:rsidR="007A427A" w:rsidRPr="00FA0DE5">
            <w:rPr>
              <w:rFonts w:ascii="Arial" w:hAnsi="Arial" w:cs="Arial"/>
              <w:color w:val="0000FF"/>
              <w:u w:val="single"/>
            </w:rPr>
            <w:t>Microsoft Word - HBC CIL Charging Schedule Full Document Feb 2013.doc (havant.gov.uk)</w:t>
          </w:r>
        </w:hyperlink>
      </w:hyperlink>
    </w:p>
    <w:p w14:paraId="0AD2CC9D" w14:textId="5EA7B891" w:rsidR="00516871" w:rsidRDefault="00516871" w:rsidP="00516871">
      <w:pPr>
        <w:spacing w:line="240" w:lineRule="auto"/>
        <w:rPr>
          <w:rFonts w:ascii="Arial" w:hAnsi="Arial" w:cs="Arial"/>
        </w:rPr>
      </w:pPr>
      <w:r w:rsidRPr="00AD29F6">
        <w:rPr>
          <w:rFonts w:ascii="Arial" w:hAnsi="Arial" w:cs="Arial"/>
        </w:rPr>
        <w:t xml:space="preserve">The amounts in the Charging Schedule are indexed according to the year in which permission is issued. If the permission </w:t>
      </w:r>
      <w:r>
        <w:rPr>
          <w:rFonts w:ascii="Arial" w:hAnsi="Arial" w:cs="Arial"/>
        </w:rPr>
        <w:t>is</w:t>
      </w:r>
      <w:r w:rsidRPr="00AD29F6">
        <w:rPr>
          <w:rFonts w:ascii="Arial" w:hAnsi="Arial" w:cs="Arial"/>
        </w:rPr>
        <w:t xml:space="preserve"> issued in 20</w:t>
      </w:r>
      <w:r>
        <w:rPr>
          <w:rFonts w:ascii="Arial" w:hAnsi="Arial" w:cs="Arial"/>
        </w:rPr>
        <w:t>2</w:t>
      </w:r>
      <w:r w:rsidR="007A427A">
        <w:rPr>
          <w:rFonts w:ascii="Arial" w:hAnsi="Arial" w:cs="Arial"/>
        </w:rPr>
        <w:t>3</w:t>
      </w:r>
      <w:r w:rsidRPr="00AD29F6">
        <w:rPr>
          <w:rFonts w:ascii="Arial" w:hAnsi="Arial" w:cs="Arial"/>
        </w:rPr>
        <w:t xml:space="preserve"> the amount of indexation w</w:t>
      </w:r>
      <w:r>
        <w:rPr>
          <w:rFonts w:ascii="Arial" w:hAnsi="Arial" w:cs="Arial"/>
        </w:rPr>
        <w:t>ill be</w:t>
      </w:r>
      <w:r w:rsidRPr="00AD29F6">
        <w:rPr>
          <w:rFonts w:ascii="Arial" w:hAnsi="Arial" w:cs="Arial"/>
        </w:rPr>
        <w:t xml:space="preserve"> </w:t>
      </w:r>
      <w:r w:rsidR="007A427A">
        <w:rPr>
          <w:rFonts w:ascii="Arial" w:hAnsi="Arial" w:cs="Arial"/>
        </w:rPr>
        <w:t>58.48%</w:t>
      </w:r>
      <w:r w:rsidR="00B42EC3" w:rsidRPr="007A427A">
        <w:rPr>
          <w:rFonts w:ascii="Arial" w:hAnsi="Arial" w:cs="Arial"/>
          <w:color w:val="FF0000"/>
          <w:sz w:val="24"/>
          <w:szCs w:val="24"/>
        </w:rPr>
        <w:t xml:space="preserve">. </w:t>
      </w:r>
      <w:r w:rsidRPr="00FE76D9">
        <w:rPr>
          <w:rFonts w:ascii="Arial" w:hAnsi="Arial" w:cs="Arial"/>
        </w:rPr>
        <w:t xml:space="preserve">It </w:t>
      </w:r>
      <w:r w:rsidR="00EB4758">
        <w:rPr>
          <w:rFonts w:ascii="Arial" w:hAnsi="Arial" w:cs="Arial"/>
        </w:rPr>
        <w:t>may change</w:t>
      </w:r>
      <w:r w:rsidRPr="00FE76D9">
        <w:rPr>
          <w:rFonts w:ascii="Arial" w:hAnsi="Arial" w:cs="Arial"/>
        </w:rPr>
        <w:t xml:space="preserve"> if permission is issued in 202</w:t>
      </w:r>
      <w:r w:rsidR="007A427A">
        <w:rPr>
          <w:rFonts w:ascii="Arial" w:hAnsi="Arial" w:cs="Arial"/>
        </w:rPr>
        <w:t>4</w:t>
      </w:r>
      <w:r w:rsidRPr="00FE76D9">
        <w:rPr>
          <w:rFonts w:ascii="Arial" w:hAnsi="Arial" w:cs="Arial"/>
        </w:rPr>
        <w:t xml:space="preserve">. </w:t>
      </w:r>
    </w:p>
    <w:p w14:paraId="4F5A7C97" w14:textId="1B0748C7" w:rsidR="006B27F6" w:rsidRDefault="006B27F6" w:rsidP="006B27F6">
      <w:pPr>
        <w:rPr>
          <w:rStyle w:val="Hyperlink"/>
          <w:rFonts w:ascii="Arial" w:hAnsi="Arial" w:cs="Arial"/>
          <w:bCs/>
          <w:color w:val="auto"/>
          <w:u w:val="none"/>
        </w:rPr>
      </w:pPr>
      <w:r w:rsidRPr="00FB30E0">
        <w:rPr>
          <w:rStyle w:val="Hyperlink"/>
          <w:rFonts w:ascii="Arial" w:hAnsi="Arial" w:cs="Arial"/>
          <w:bCs/>
          <w:color w:val="auto"/>
          <w:u w:val="none"/>
        </w:rPr>
        <w:t xml:space="preserve">An updated Schedule of Accommodation was submitted on </w:t>
      </w:r>
      <w:r>
        <w:rPr>
          <w:rStyle w:val="Hyperlink"/>
          <w:rFonts w:ascii="Arial" w:hAnsi="Arial" w:cs="Arial"/>
          <w:bCs/>
          <w:color w:val="auto"/>
          <w:u w:val="none"/>
        </w:rPr>
        <w:t>23/05/23</w:t>
      </w:r>
      <w:r w:rsidRPr="00FB30E0">
        <w:rPr>
          <w:rStyle w:val="Hyperlink"/>
          <w:rFonts w:ascii="Arial" w:hAnsi="Arial" w:cs="Arial"/>
          <w:bCs/>
          <w:color w:val="auto"/>
          <w:u w:val="none"/>
        </w:rPr>
        <w:t>. This has been incorporated into the CIL calculator</w:t>
      </w:r>
      <w:r>
        <w:rPr>
          <w:rStyle w:val="Hyperlink"/>
          <w:rFonts w:ascii="Arial" w:hAnsi="Arial" w:cs="Arial"/>
          <w:bCs/>
          <w:color w:val="auto"/>
          <w:u w:val="none"/>
        </w:rPr>
        <w:t xml:space="preserve"> and an updated CIL Draft Liability Notice provided to the case officer.  The amount of CIL shown </w:t>
      </w:r>
      <w:r w:rsidR="00FA0DE5">
        <w:rPr>
          <w:rStyle w:val="Hyperlink"/>
          <w:rFonts w:ascii="Arial" w:hAnsi="Arial" w:cs="Arial"/>
          <w:bCs/>
          <w:color w:val="auto"/>
          <w:u w:val="none"/>
        </w:rPr>
        <w:t xml:space="preserve">may </w:t>
      </w:r>
      <w:r>
        <w:rPr>
          <w:rStyle w:val="Hyperlink"/>
          <w:rFonts w:ascii="Arial" w:hAnsi="Arial" w:cs="Arial"/>
          <w:bCs/>
          <w:color w:val="auto"/>
          <w:u w:val="none"/>
        </w:rPr>
        <w:t xml:space="preserve">increase if the decision is </w:t>
      </w:r>
      <w:r w:rsidRPr="00CD1EAC">
        <w:rPr>
          <w:rStyle w:val="Hyperlink"/>
          <w:rFonts w:ascii="Arial" w:hAnsi="Arial" w:cs="Arial"/>
          <w:bCs/>
          <w:color w:val="auto"/>
          <w:u w:val="none"/>
        </w:rPr>
        <w:t>after 31/12/23.</w:t>
      </w:r>
    </w:p>
    <w:p w14:paraId="24E91D77" w14:textId="20507D58" w:rsidR="00C15E49" w:rsidRPr="00CD7867" w:rsidRDefault="00CD7867" w:rsidP="00C15E49">
      <w:pPr>
        <w:spacing w:line="240" w:lineRule="auto"/>
        <w:rPr>
          <w:rFonts w:ascii="Arial" w:hAnsi="Arial" w:cs="Arial"/>
        </w:rPr>
      </w:pPr>
      <w:r w:rsidRPr="00CD7867">
        <w:rPr>
          <w:rFonts w:ascii="Arial" w:hAnsi="Arial" w:cs="Arial"/>
        </w:rPr>
        <w:t xml:space="preserve">To date a CIL </w:t>
      </w:r>
      <w:r w:rsidR="00434BE6" w:rsidRPr="00CD7867">
        <w:rPr>
          <w:rFonts w:ascii="Arial" w:hAnsi="Arial" w:cs="Arial"/>
        </w:rPr>
        <w:t xml:space="preserve">form 10 </w:t>
      </w:r>
      <w:r w:rsidRPr="00CD7867">
        <w:rPr>
          <w:rFonts w:ascii="Arial" w:hAnsi="Arial" w:cs="Arial"/>
        </w:rPr>
        <w:t xml:space="preserve">has not been received, this </w:t>
      </w:r>
      <w:r w:rsidR="00434BE6" w:rsidRPr="00CD7867">
        <w:rPr>
          <w:rFonts w:ascii="Arial" w:hAnsi="Arial" w:cs="Arial"/>
        </w:rPr>
        <w:t>will be required prior to commencement to allow Social Housing Relief, or prior to decision</w:t>
      </w:r>
      <w:r w:rsidR="00FA0DE5">
        <w:rPr>
          <w:rFonts w:ascii="Arial" w:hAnsi="Arial" w:cs="Arial"/>
        </w:rPr>
        <w:t>, i</w:t>
      </w:r>
      <w:r w:rsidR="00434BE6" w:rsidRPr="00CD7867">
        <w:rPr>
          <w:rFonts w:ascii="Arial" w:hAnsi="Arial" w:cs="Arial"/>
        </w:rPr>
        <w:t>f the CIL Liability Notice is to show the Social Housing Relief Granted.</w:t>
      </w:r>
    </w:p>
    <w:p w14:paraId="054C95E0" w14:textId="3459A21F" w:rsidR="004D755C" w:rsidRPr="00561189" w:rsidRDefault="004D755C" w:rsidP="004D75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1189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the current CIL Charging Schedule in under review</w:t>
      </w:r>
      <w:r w:rsidR="00FA0DE5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. </w:t>
      </w:r>
      <w:r w:rsidRPr="00FA0DE5">
        <w:rPr>
          <w:rStyle w:val="Hyperlink"/>
          <w:rFonts w:ascii="Arial" w:hAnsi="Arial" w:cs="Arial"/>
          <w:strike/>
          <w:color w:val="auto"/>
          <w:sz w:val="22"/>
          <w:szCs w:val="22"/>
          <w:u w:val="none"/>
        </w:rPr>
        <w:t xml:space="preserve">and </w:t>
      </w:r>
      <w:r w:rsidRPr="00FA0DE5">
        <w:rPr>
          <w:rFonts w:ascii="Arial" w:hAnsi="Arial" w:cs="Arial"/>
          <w:strike/>
          <w:color w:val="000000"/>
          <w:sz w:val="22"/>
          <w:szCs w:val="22"/>
        </w:rPr>
        <w:t>a replacement schedule has gone through examination.  The Council plans to adopt the new schedule alongside the emerging Local Plan</w:t>
      </w:r>
      <w:r w:rsidR="00561189" w:rsidRPr="00FA0DE5">
        <w:rPr>
          <w:rFonts w:ascii="Arial" w:hAnsi="Arial" w:cs="Arial"/>
          <w:strike/>
          <w:color w:val="000000"/>
          <w:sz w:val="22"/>
          <w:szCs w:val="22"/>
        </w:rPr>
        <w:t xml:space="preserve">, </w:t>
      </w:r>
      <w:r w:rsidR="00561189" w:rsidRPr="00FA0DE5">
        <w:rPr>
          <w:rFonts w:ascii="Arial" w:hAnsi="Arial" w:cs="Arial"/>
          <w:strike/>
          <w:sz w:val="22"/>
          <w:szCs w:val="22"/>
        </w:rPr>
        <w:t>the Council intends to consider these two policies for adoption simultaneously, once the Local Plan examination is complete.</w:t>
      </w:r>
    </w:p>
    <w:p w14:paraId="053B2B55" w14:textId="77777777" w:rsidR="00CD7867" w:rsidRDefault="00CD7867" w:rsidP="00FC370C">
      <w:pPr>
        <w:rPr>
          <w:rStyle w:val="Hyperlink"/>
          <w:rFonts w:ascii="Arial" w:hAnsi="Arial" w:cs="Arial"/>
          <w:b/>
          <w:color w:val="auto"/>
        </w:rPr>
      </w:pPr>
    </w:p>
    <w:p w14:paraId="26944938" w14:textId="0B062161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01380A7D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Affordable Housing</w:t>
      </w:r>
      <w:r w:rsidR="00DE33F2">
        <w:rPr>
          <w:rFonts w:ascii="Arial" w:hAnsi="Arial" w:cs="Arial"/>
        </w:rPr>
        <w:t xml:space="preserve"> </w:t>
      </w:r>
    </w:p>
    <w:p w14:paraId="03C40FF7" w14:textId="20D115DF" w:rsidR="005B56A3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="005B56A3" w:rsidRPr="00B81B00">
        <w:rPr>
          <w:rFonts w:ascii="Arial" w:hAnsi="Arial" w:cs="Arial"/>
        </w:rPr>
        <w:t>Monitoring Fees*</w:t>
      </w:r>
    </w:p>
    <w:p w14:paraId="1040C8B5" w14:textId="689D4228" w:rsidR="005B72AD" w:rsidRPr="00B81B00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13A532C0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Co</w:t>
      </w:r>
      <w:r>
        <w:rPr>
          <w:rFonts w:ascii="Arial" w:hAnsi="Arial" w:cs="Arial"/>
        </w:rPr>
        <w:t>mpany</w:t>
      </w:r>
    </w:p>
    <w:p w14:paraId="4398B62F" w14:textId="4F151866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Plan</w:t>
      </w:r>
      <w:r w:rsidR="004829B0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3E2DBB63" w:rsidR="00A328B9" w:rsidRDefault="00A328B9" w:rsidP="005735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Neutrality</w:t>
      </w:r>
      <w:r w:rsidR="00573551">
        <w:rPr>
          <w:rFonts w:ascii="Arial" w:hAnsi="Arial" w:cs="Arial"/>
        </w:rPr>
        <w:t xml:space="preserve"> </w:t>
      </w:r>
      <w:hyperlink r:id="rId9" w:history="1">
        <w:r w:rsidR="00573551" w:rsidRPr="006F5E71">
          <w:rPr>
            <w:rStyle w:val="Hyperlink"/>
            <w:rFonts w:ascii="Arial" w:hAnsi="Arial" w:cs="Arial"/>
          </w:rPr>
          <w:t>https://www.havant.gov.uk/nitrogen-developers</w:t>
        </w:r>
      </w:hyperlink>
    </w:p>
    <w:p w14:paraId="751ABD08" w14:textId="065A0D40" w:rsidR="00A328B9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47BB03F3" w14:textId="19BEDFE6" w:rsidR="00871F04" w:rsidRPr="00DE38F1" w:rsidRDefault="00871F0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  <w:r w:rsidR="00B42EC3">
        <w:rPr>
          <w:rFonts w:ascii="Arial" w:hAnsi="Arial" w:cs="Arial"/>
        </w:rPr>
        <w:t xml:space="preserve"> (payment due prior to commencement)</w:t>
      </w:r>
    </w:p>
    <w:p w14:paraId="7F0B2DBF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6AE6FF08" w14:textId="498B270E" w:rsidR="005B56A3" w:rsidRDefault="00F9635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</w:t>
      </w:r>
      <w:r w:rsidR="002E39E5" w:rsidRPr="002E39E5">
        <w:rPr>
          <w:rFonts w:ascii="Arial" w:hAnsi="Arial" w:cs="Arial"/>
        </w:rPr>
        <w:t>/SUDS Bond</w:t>
      </w:r>
      <w:r w:rsidR="004829B0">
        <w:rPr>
          <w:rFonts w:ascii="Arial" w:hAnsi="Arial" w:cs="Arial"/>
        </w:rPr>
        <w:t xml:space="preserve"> (Bond not necessary if Southern Water have agreed to adopt SUDS once installed)</w:t>
      </w:r>
    </w:p>
    <w:p w14:paraId="7A66275D" w14:textId="4CCE363E" w:rsidR="005B72AD" w:rsidRPr="002E39E5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3AD2BF7B" w14:textId="77777777" w:rsidR="005B56A3" w:rsidRPr="002E39E5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Highway Works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4D88B403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06EA684" w14:textId="7C5DFA6C" w:rsidR="006B27F6" w:rsidRDefault="006B27F6" w:rsidP="006B27F6">
      <w:pPr>
        <w:rPr>
          <w:rFonts w:ascii="Arial" w:hAnsi="Arial" w:cs="Arial"/>
        </w:rPr>
      </w:pPr>
    </w:p>
    <w:p w14:paraId="3C5CED5B" w14:textId="49ADD257" w:rsidR="006B27F6" w:rsidRPr="006B27F6" w:rsidRDefault="006B27F6" w:rsidP="006B27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noted that a Draft Head of Terms has been submitted, please note </w:t>
      </w:r>
      <w:r w:rsidR="00FA0DE5">
        <w:rPr>
          <w:rFonts w:ascii="Arial" w:hAnsi="Arial" w:cs="Arial"/>
        </w:rPr>
        <w:t xml:space="preserve">indexation will apply to all financial sums (except SuDS Bond). These </w:t>
      </w:r>
      <w:r>
        <w:rPr>
          <w:rFonts w:ascii="Arial" w:hAnsi="Arial" w:cs="Arial"/>
        </w:rPr>
        <w:t xml:space="preserve">will be </w:t>
      </w:r>
      <w:r w:rsidR="00FA0DE5">
        <w:rPr>
          <w:rFonts w:ascii="Arial" w:hAnsi="Arial" w:cs="Arial"/>
        </w:rPr>
        <w:t xml:space="preserve">indexed </w:t>
      </w:r>
      <w:r>
        <w:rPr>
          <w:rFonts w:ascii="Arial" w:hAnsi="Arial" w:cs="Arial"/>
        </w:rPr>
        <w:t xml:space="preserve">with the CPI </w:t>
      </w:r>
      <w:r w:rsidR="00FA0DE5">
        <w:rPr>
          <w:rFonts w:ascii="Arial" w:hAnsi="Arial" w:cs="Arial"/>
        </w:rPr>
        <w:t>except the</w:t>
      </w:r>
      <w:r w:rsidR="00C63698">
        <w:rPr>
          <w:rFonts w:ascii="Arial" w:hAnsi="Arial" w:cs="Arial"/>
        </w:rPr>
        <w:t xml:space="preserve"> </w:t>
      </w:r>
      <w:r w:rsidR="007716FA">
        <w:rPr>
          <w:rFonts w:ascii="Arial" w:hAnsi="Arial" w:cs="Arial"/>
        </w:rPr>
        <w:t xml:space="preserve">Solent Recreation Mitigation Strategy which will be </w:t>
      </w:r>
      <w:r w:rsidR="00FA0DE5">
        <w:rPr>
          <w:rFonts w:ascii="Arial" w:hAnsi="Arial" w:cs="Arial"/>
        </w:rPr>
        <w:t xml:space="preserve">indexed in accordance with the </w:t>
      </w:r>
      <w:r w:rsidR="007716FA">
        <w:rPr>
          <w:rFonts w:ascii="Arial" w:hAnsi="Arial" w:cs="Arial"/>
        </w:rPr>
        <w:t xml:space="preserve">RPI. </w:t>
      </w:r>
    </w:p>
    <w:p w14:paraId="78CE3C49" w14:textId="77777777" w:rsidR="00D81304" w:rsidRPr="001559CD" w:rsidRDefault="00D81304" w:rsidP="00D81304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74563463" w14:textId="71689D8D" w:rsidR="00DF2A56" w:rsidRPr="006E6046" w:rsidRDefault="00DF2A56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E2A470" w14:textId="77777777" w:rsidR="00CD7867" w:rsidRPr="001559CD" w:rsidRDefault="00CD7867" w:rsidP="00CD7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 xml:space="preserve">Latest version accessible from: </w:t>
      </w:r>
      <w:hyperlink r:id="rId10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16CB31A9" w14:textId="77777777" w:rsidR="00CD7867" w:rsidRDefault="00CD7867" w:rsidP="00CD7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C3CD320" w14:textId="77777777" w:rsidR="00CD7867" w:rsidRDefault="00CD7867" w:rsidP="00CD7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*HBC Monitoring Fees:  </w:t>
      </w:r>
      <w:r>
        <w:rPr>
          <w:rFonts w:ascii="Arial" w:hAnsi="Arial" w:cs="Arial"/>
        </w:rPr>
        <w:t>As part of the ‘Heads of Terms’ it is necessary to include monitoring fees.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The amended CIL Regulations effective 1/9/19 regularise the collection of S106 monitoring fees. We have an agreed schedule of charges, due to be updated 1/4/23: </w:t>
      </w:r>
    </w:p>
    <w:p w14:paraId="147C24FB" w14:textId="77777777" w:rsidR="00CD7867" w:rsidRDefault="00CD7867" w:rsidP="00CD7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A3670E" w14:textId="7793598D" w:rsidR="00CD7867" w:rsidRDefault="00CD7867" w:rsidP="00CD78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lang w:eastAsia="en-GB"/>
        </w:rPr>
        <w:t>From 1 April 2023</w:t>
      </w:r>
    </w:p>
    <w:p w14:paraId="0CB574EE" w14:textId="763BC2CC" w:rsidR="00CD7867" w:rsidRDefault="00CD7867" w:rsidP="00CD78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£846 per non-financial head of term (outside the scope of VAT)</w:t>
      </w:r>
    </w:p>
    <w:p w14:paraId="28539738" w14:textId="77777777" w:rsidR="00CD7867" w:rsidRDefault="00CD7867" w:rsidP="00CD786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29DD0122" w14:textId="2E98424D" w:rsidR="00CD7867" w:rsidRDefault="00CD7867" w:rsidP="00CD78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1E813B43" w14:textId="77777777" w:rsidR="00CD7867" w:rsidRDefault="00CD7867" w:rsidP="00CD78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5ECB3EDF" w14:textId="77777777" w:rsidR="00CD7867" w:rsidRPr="00BA5ACD" w:rsidRDefault="00CD7867" w:rsidP="00CD786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**</w:t>
      </w:r>
      <w:r w:rsidRPr="00BA5ACD">
        <w:rPr>
          <w:rFonts w:ascii="Arial" w:hAnsi="Arial" w:cs="Arial"/>
          <w:b/>
        </w:rPr>
        <w:t>Solent Recreation Mitigation Strategy</w:t>
      </w:r>
    </w:p>
    <w:p w14:paraId="3637E06E" w14:textId="28B80E68" w:rsidR="00CD7867" w:rsidRDefault="00CD7867" w:rsidP="00CD7867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7B118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</w:t>
      </w:r>
      <w:r w:rsidR="007B118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hyperlink r:id="rId11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p w14:paraId="33FC6873" w14:textId="1A74CA9D" w:rsidR="00CD7867" w:rsidRDefault="007B1189" w:rsidP="00CD7867">
      <w:pPr>
        <w:spacing w:after="160" w:line="259" w:lineRule="auto"/>
        <w:rPr>
          <w:rFonts w:ascii="Arial" w:hAnsi="Arial" w:cs="Arial"/>
          <w:b/>
          <w:lang w:val="en"/>
        </w:rPr>
      </w:pPr>
      <w:r>
        <w:rPr>
          <w:rFonts w:ascii="Arial" w:eastAsia="Times New Roman" w:hAnsi="Arial" w:cs="Arial"/>
          <w:noProof/>
          <w:color w:val="000000"/>
          <w:lang w:eastAsia="en-GB"/>
        </w:rPr>
        <w:drawing>
          <wp:inline distT="0" distB="0" distL="0" distR="0" wp14:anchorId="0D8DA85A" wp14:editId="1A4E5BEF">
            <wp:extent cx="3092450" cy="2038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134"/>
                    <a:stretch/>
                  </pic:blipFill>
                  <pic:spPr bwMode="auto">
                    <a:xfrm>
                      <a:off x="0" y="0"/>
                      <a:ext cx="30924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FC87C" w14:textId="13773AC3" w:rsidR="00CD7867" w:rsidRDefault="00E90897" w:rsidP="00CD78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(Please note the 5% monitoring may be included in the £12,205 cap if applicable)</w:t>
      </w:r>
    </w:p>
    <w:p w14:paraId="2AFB2C8B" w14:textId="77777777" w:rsidR="00CD7867" w:rsidRDefault="00CD7867" w:rsidP="00CD78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2F6281" w14:textId="77777777" w:rsidR="00CD7867" w:rsidRDefault="00CD7867" w:rsidP="00D81304">
      <w:pPr>
        <w:rPr>
          <w:rFonts w:ascii="Arial" w:hAnsi="Arial" w:cs="Arial"/>
          <w:b/>
        </w:rPr>
      </w:pPr>
    </w:p>
    <w:p w14:paraId="77D48ACF" w14:textId="7B1F46E6" w:rsidR="00434BE6" w:rsidRDefault="00434BE6">
      <w:pPr>
        <w:spacing w:after="160" w:line="259" w:lineRule="auto"/>
        <w:rPr>
          <w:rStyle w:val="Hyperlink"/>
          <w:rFonts w:ascii="Arial" w:hAnsi="Arial" w:cs="Arial"/>
        </w:rPr>
      </w:pPr>
    </w:p>
    <w:p w14:paraId="02362723" w14:textId="77777777" w:rsidR="00D81304" w:rsidRPr="00BA5ACD" w:rsidRDefault="00D81304" w:rsidP="00D81304">
      <w:pPr>
        <w:rPr>
          <w:rFonts w:ascii="Arial" w:hAnsi="Arial" w:cs="Arial"/>
          <w:b/>
        </w:rPr>
      </w:pPr>
    </w:p>
    <w:p w14:paraId="5AD2BB20" w14:textId="77777777" w:rsidR="00D81304" w:rsidRPr="00D81304" w:rsidRDefault="00D81304" w:rsidP="00D81304">
      <w:pPr>
        <w:rPr>
          <w:rFonts w:ascii="Arial" w:hAnsi="Arial" w:cs="Arial"/>
        </w:rPr>
      </w:pPr>
    </w:p>
    <w:sectPr w:rsidR="00D81304" w:rsidRPr="00D81304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3FB38" w14:textId="77777777" w:rsidR="000112E2" w:rsidRDefault="000112E2" w:rsidP="00DA3ECA">
      <w:pPr>
        <w:spacing w:after="0" w:line="240" w:lineRule="auto"/>
      </w:pPr>
      <w:r>
        <w:separator/>
      </w:r>
    </w:p>
  </w:endnote>
  <w:endnote w:type="continuationSeparator" w:id="0">
    <w:p w14:paraId="37342943" w14:textId="77777777" w:rsidR="000112E2" w:rsidRDefault="000112E2" w:rsidP="00DA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DM Sans">
    <w:altName w:val="DM Sans"/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623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9D43F" w14:textId="4D4DE92E" w:rsidR="00DA3ECA" w:rsidRDefault="00DA3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E70C4E" w14:textId="77777777" w:rsidR="00DA3ECA" w:rsidRDefault="00DA3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D9FDB" w14:textId="77777777" w:rsidR="000112E2" w:rsidRDefault="000112E2" w:rsidP="00DA3ECA">
      <w:pPr>
        <w:spacing w:after="0" w:line="240" w:lineRule="auto"/>
      </w:pPr>
      <w:r>
        <w:separator/>
      </w:r>
    </w:p>
  </w:footnote>
  <w:footnote w:type="continuationSeparator" w:id="0">
    <w:p w14:paraId="15EAF4AF" w14:textId="77777777" w:rsidR="000112E2" w:rsidRDefault="000112E2" w:rsidP="00DA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D2C75"/>
    <w:multiLevelType w:val="hybridMultilevel"/>
    <w:tmpl w:val="8B86F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B1727"/>
    <w:multiLevelType w:val="hybridMultilevel"/>
    <w:tmpl w:val="D4DA3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777289417">
    <w:abstractNumId w:val="2"/>
  </w:num>
  <w:num w:numId="2" w16cid:durableId="55128430">
    <w:abstractNumId w:val="4"/>
  </w:num>
  <w:num w:numId="3" w16cid:durableId="947809134">
    <w:abstractNumId w:val="1"/>
  </w:num>
  <w:num w:numId="4" w16cid:durableId="1757702628">
    <w:abstractNumId w:val="3"/>
  </w:num>
  <w:num w:numId="5" w16cid:durableId="31984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112E2"/>
    <w:rsid w:val="000B0EE3"/>
    <w:rsid w:val="000B198B"/>
    <w:rsid w:val="00146D6D"/>
    <w:rsid w:val="001544FE"/>
    <w:rsid w:val="001C0A55"/>
    <w:rsid w:val="00242FF1"/>
    <w:rsid w:val="00272924"/>
    <w:rsid w:val="002A1652"/>
    <w:rsid w:val="002A6D3D"/>
    <w:rsid w:val="002C026A"/>
    <w:rsid w:val="002E39E5"/>
    <w:rsid w:val="00313624"/>
    <w:rsid w:val="00313629"/>
    <w:rsid w:val="00314489"/>
    <w:rsid w:val="003A3A79"/>
    <w:rsid w:val="003F7561"/>
    <w:rsid w:val="00434BE6"/>
    <w:rsid w:val="00472E88"/>
    <w:rsid w:val="004829B0"/>
    <w:rsid w:val="004D755C"/>
    <w:rsid w:val="005105C0"/>
    <w:rsid w:val="00516871"/>
    <w:rsid w:val="00556980"/>
    <w:rsid w:val="00561189"/>
    <w:rsid w:val="00573551"/>
    <w:rsid w:val="005B56A3"/>
    <w:rsid w:val="005B72AD"/>
    <w:rsid w:val="005C34ED"/>
    <w:rsid w:val="00676677"/>
    <w:rsid w:val="006A6818"/>
    <w:rsid w:val="006B27F6"/>
    <w:rsid w:val="007716FA"/>
    <w:rsid w:val="00791DE2"/>
    <w:rsid w:val="007A427A"/>
    <w:rsid w:val="007B1189"/>
    <w:rsid w:val="007F0B17"/>
    <w:rsid w:val="00812CB0"/>
    <w:rsid w:val="00852957"/>
    <w:rsid w:val="00871F04"/>
    <w:rsid w:val="008C6592"/>
    <w:rsid w:val="008C6D1F"/>
    <w:rsid w:val="008D1DF8"/>
    <w:rsid w:val="008E4FEE"/>
    <w:rsid w:val="00A328B9"/>
    <w:rsid w:val="00A51637"/>
    <w:rsid w:val="00AB77F8"/>
    <w:rsid w:val="00AC3E43"/>
    <w:rsid w:val="00AF57BE"/>
    <w:rsid w:val="00B01433"/>
    <w:rsid w:val="00B35C8A"/>
    <w:rsid w:val="00B42EC3"/>
    <w:rsid w:val="00B43B4F"/>
    <w:rsid w:val="00B81441"/>
    <w:rsid w:val="00BA2C1D"/>
    <w:rsid w:val="00C05A0A"/>
    <w:rsid w:val="00C15E49"/>
    <w:rsid w:val="00C236EB"/>
    <w:rsid w:val="00C63698"/>
    <w:rsid w:val="00CD1EAC"/>
    <w:rsid w:val="00CD7867"/>
    <w:rsid w:val="00CF5FD5"/>
    <w:rsid w:val="00D643AE"/>
    <w:rsid w:val="00D81304"/>
    <w:rsid w:val="00D87C30"/>
    <w:rsid w:val="00DA3ECA"/>
    <w:rsid w:val="00DE236E"/>
    <w:rsid w:val="00DE2EA2"/>
    <w:rsid w:val="00DE33F2"/>
    <w:rsid w:val="00DF2A56"/>
    <w:rsid w:val="00E02F42"/>
    <w:rsid w:val="00E07381"/>
    <w:rsid w:val="00E533D9"/>
    <w:rsid w:val="00E90897"/>
    <w:rsid w:val="00EB4758"/>
    <w:rsid w:val="00EE057E"/>
    <w:rsid w:val="00F21E15"/>
    <w:rsid w:val="00F4604C"/>
    <w:rsid w:val="00F96359"/>
    <w:rsid w:val="00FA0DE5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ECA"/>
  </w:style>
  <w:style w:type="paragraph" w:styleId="Footer">
    <w:name w:val="footer"/>
    <w:basedOn w:val="Normal"/>
    <w:link w:val="Foot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havant.gov.uk/public/documents/HBC%20CIL%20Charging%20Schedule%20Full%20Document%20Feb%202013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avant.gov.uk/unilateral-undertaking-solent-recreation-mitigation-strateg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avant.gov.uk/community-infrastructure-lev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nitrogen-develope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4</cp:revision>
  <cp:lastPrinted>2021-03-08T14:50:00Z</cp:lastPrinted>
  <dcterms:created xsi:type="dcterms:W3CDTF">2023-06-07T13:28:00Z</dcterms:created>
  <dcterms:modified xsi:type="dcterms:W3CDTF">2023-06-07T13:36:00Z</dcterms:modified>
</cp:coreProperties>
</file>