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E3B5D" w14:textId="77777777" w:rsidR="00F91FE6" w:rsidRPr="00673AA1" w:rsidRDefault="00F91FE6" w:rsidP="00852456">
      <w:pPr>
        <w:jc w:val="both"/>
        <w:rPr>
          <w:b/>
          <w:u w:val="single"/>
        </w:rPr>
      </w:pPr>
      <w:r w:rsidRPr="00673AA1">
        <w:rPr>
          <w:b/>
          <w:u w:val="single"/>
        </w:rPr>
        <w:t xml:space="preserve">Heritage Team Response </w:t>
      </w:r>
    </w:p>
    <w:p w14:paraId="57F84FC7" w14:textId="10F93643" w:rsidR="00F91FE6" w:rsidRPr="00673AA1" w:rsidRDefault="00F91FE6" w:rsidP="00852456">
      <w:pPr>
        <w:jc w:val="both"/>
        <w:rPr>
          <w:b/>
          <w:u w:val="single"/>
        </w:rPr>
      </w:pPr>
      <w:r w:rsidRPr="00673AA1">
        <w:rPr>
          <w:b/>
          <w:u w:val="single"/>
        </w:rPr>
        <w:t xml:space="preserve">Date – </w:t>
      </w:r>
      <w:r w:rsidR="00537C69">
        <w:rPr>
          <w:b/>
          <w:u w:val="single"/>
        </w:rPr>
        <w:t>26</w:t>
      </w:r>
      <w:r w:rsidR="006040C6">
        <w:rPr>
          <w:b/>
          <w:u w:val="single"/>
        </w:rPr>
        <w:t>/4/2023</w:t>
      </w:r>
    </w:p>
    <w:p w14:paraId="60AEDF48" w14:textId="06B2A952" w:rsidR="006040C6"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6040C6">
        <w:rPr>
          <w:b/>
          <w:u w:val="single"/>
        </w:rPr>
        <w:t>3</w:t>
      </w:r>
      <w:r w:rsidR="00031E65" w:rsidRPr="00673AA1">
        <w:rPr>
          <w:b/>
          <w:u w:val="single"/>
        </w:rPr>
        <w:t>/0</w:t>
      </w:r>
      <w:r w:rsidR="006040C6">
        <w:rPr>
          <w:b/>
          <w:u w:val="single"/>
        </w:rPr>
        <w:t>0118</w:t>
      </w:r>
      <w:r w:rsidR="000614A8">
        <w:rPr>
          <w:b/>
          <w:u w:val="single"/>
        </w:rPr>
        <w:t xml:space="preserve"> </w:t>
      </w:r>
    </w:p>
    <w:p w14:paraId="6C195BD5" w14:textId="6D211A69" w:rsidR="00852456" w:rsidRPr="00673AA1" w:rsidRDefault="006040C6" w:rsidP="00852456">
      <w:pPr>
        <w:jc w:val="both"/>
        <w:rPr>
          <w:b/>
          <w:u w:val="single"/>
        </w:rPr>
      </w:pPr>
      <w:r>
        <w:rPr>
          <w:b/>
          <w:u w:val="single"/>
        </w:rPr>
        <w:t>Site</w:t>
      </w:r>
    </w:p>
    <w:p w14:paraId="7C66363D" w14:textId="22C68376" w:rsidR="00ED0554" w:rsidRDefault="000A653F" w:rsidP="006040C6">
      <w:pPr>
        <w:jc w:val="both"/>
      </w:pPr>
      <w:r w:rsidRPr="000A653F">
        <w:t xml:space="preserve">The </w:t>
      </w:r>
      <w:r>
        <w:t>application site</w:t>
      </w:r>
      <w:r w:rsidRPr="000A653F">
        <w:t xml:space="preserve"> </w:t>
      </w:r>
      <w:r w:rsidR="00ED0554">
        <w:t xml:space="preserve">is located </w:t>
      </w:r>
      <w:r w:rsidR="006807B0">
        <w:t xml:space="preserve">on Brockhampton Road within the Brockhampton Conservation Area. It comprises the Portsmouth Water HQ. This includes a number of buildings and storage / operations yard. To the </w:t>
      </w:r>
      <w:r w:rsidR="009E71B4">
        <w:t xml:space="preserve">south of the site is the Old Manor House, a Grade II listed building. In terms of locally listed buildings (non-designated hertiage assets), the site includes one - the Pump House. No’s 5 and 7 Brockhampton Road sit outside the entrance to the site. </w:t>
      </w:r>
    </w:p>
    <w:p w14:paraId="1683B1F3" w14:textId="535B2488" w:rsidR="00ED0554" w:rsidRDefault="00FB0F80" w:rsidP="00852456">
      <w:pPr>
        <w:jc w:val="both"/>
        <w:rPr>
          <w:b/>
          <w:u w:val="single"/>
        </w:rPr>
      </w:pPr>
      <w:r w:rsidRPr="00FB0F80">
        <w:rPr>
          <w:b/>
          <w:u w:val="single"/>
        </w:rPr>
        <w:t>Proposal</w:t>
      </w:r>
    </w:p>
    <w:p w14:paraId="74797700" w14:textId="3BDA5E6E" w:rsidR="00FB5AB4" w:rsidRPr="006040C6" w:rsidRDefault="006040C6" w:rsidP="006040C6">
      <w:pPr>
        <w:autoSpaceDE w:val="0"/>
        <w:autoSpaceDN w:val="0"/>
        <w:adjustRightInd w:val="0"/>
        <w:spacing w:after="0" w:line="240" w:lineRule="auto"/>
        <w:rPr>
          <w:rFonts w:cstheme="minorHAnsi"/>
        </w:rPr>
      </w:pPr>
      <w:r w:rsidRPr="006040C6">
        <w:rPr>
          <w:rFonts w:cstheme="minorHAnsi"/>
        </w:rPr>
        <w:t>Installation of replacement storage racking within Portsmouth Water’s Operations Yard.</w:t>
      </w:r>
    </w:p>
    <w:p w14:paraId="43658611" w14:textId="77777777" w:rsidR="006040C6" w:rsidRPr="006040C6" w:rsidRDefault="006040C6" w:rsidP="006040C6">
      <w:pPr>
        <w:autoSpaceDE w:val="0"/>
        <w:autoSpaceDN w:val="0"/>
        <w:adjustRightInd w:val="0"/>
        <w:spacing w:after="0" w:line="240" w:lineRule="auto"/>
        <w:rPr>
          <w:rFonts w:ascii="Arial" w:hAnsi="Arial" w:cs="Arial"/>
        </w:rPr>
      </w:pPr>
    </w:p>
    <w:p w14:paraId="72D72000" w14:textId="77777777" w:rsidR="00852456" w:rsidRPr="00673AA1" w:rsidRDefault="00852456" w:rsidP="00852456">
      <w:pPr>
        <w:jc w:val="both"/>
        <w:rPr>
          <w:b/>
          <w:u w:val="single"/>
        </w:rPr>
      </w:pPr>
      <w:r w:rsidRPr="00673AA1">
        <w:rPr>
          <w:b/>
          <w:u w:val="single"/>
        </w:rPr>
        <w:t xml:space="preserve">Legislative and Policy Context </w:t>
      </w:r>
    </w:p>
    <w:p w14:paraId="41F39A82" w14:textId="39725C02" w:rsidR="000D6036" w:rsidRDefault="000D6036" w:rsidP="00852456">
      <w:pPr>
        <w:jc w:val="both"/>
      </w:pPr>
      <w:r w:rsidRPr="00673AA1">
        <w:t xml:space="preserve">When assessing the proposal, the following legislation and policy context is taken in consideration. </w:t>
      </w:r>
    </w:p>
    <w:p w14:paraId="0D6C4290" w14:textId="77777777" w:rsidR="00930B9D" w:rsidRPr="00745AC2" w:rsidRDefault="00930B9D" w:rsidP="00930B9D">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97B4678" w14:textId="3C6B11C1" w:rsidR="00852456"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547ECBBD" w14:textId="77777777" w:rsidR="00930B9D" w:rsidRPr="00A074B9" w:rsidRDefault="00930B9D" w:rsidP="00930B9D">
      <w:pPr>
        <w:autoSpaceDE w:val="0"/>
        <w:autoSpaceDN w:val="0"/>
        <w:adjustRightInd w:val="0"/>
        <w:jc w:val="both"/>
        <w:rPr>
          <w:rFonts w:eastAsia="ArialMT"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494B29E2"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9BB6550" w14:textId="77777777" w:rsidR="00F426F9" w:rsidRPr="00F426F9" w:rsidRDefault="00F426F9" w:rsidP="00F426F9">
      <w:pPr>
        <w:autoSpaceDE w:val="0"/>
        <w:autoSpaceDN w:val="0"/>
        <w:adjustRightInd w:val="0"/>
        <w:spacing w:after="0" w:line="240" w:lineRule="auto"/>
        <w:jc w:val="both"/>
        <w:rPr>
          <w:rFonts w:ascii="Calibri" w:hAnsi="Calibri" w:cs="Calibri"/>
        </w:rPr>
      </w:pPr>
    </w:p>
    <w:p w14:paraId="7809247D" w14:textId="2469BD3A" w:rsidR="00852456" w:rsidRPr="00673AA1" w:rsidRDefault="00852456" w:rsidP="00852456">
      <w:pPr>
        <w:jc w:val="both"/>
      </w:pPr>
      <w:r w:rsidRPr="00673AA1">
        <w:t>The revised NPPF (</w:t>
      </w:r>
      <w:r w:rsidR="00E26968">
        <w:t>July 2021</w:t>
      </w:r>
      <w:r w:rsidRPr="00673AA1">
        <w:t>) sets out in Chapter 16, the core principles relating to development affecting Heritage Assets that local planning authorities should consider in making planning decisions in the following paragraphs:</w:t>
      </w:r>
    </w:p>
    <w:p w14:paraId="11C9C7D3" w14:textId="77777777" w:rsidR="00852456" w:rsidRPr="00673AA1" w:rsidRDefault="00852456" w:rsidP="00852456">
      <w:pPr>
        <w:jc w:val="both"/>
      </w:pPr>
      <w:r w:rsidRPr="00673AA1">
        <w:t xml:space="preserve">‘184.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w:t>
      </w:r>
      <w:r w:rsidRPr="00673AA1">
        <w:lastRenderedPageBreak/>
        <w:t>appropriate to their significance, so that they can be enjoyed for their contribution to the quality of life of existing and future generations.</w:t>
      </w:r>
    </w:p>
    <w:p w14:paraId="0503993C" w14:textId="77777777"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761A5362" w14:textId="77777777" w:rsidR="00852456" w:rsidRPr="00673AA1" w:rsidRDefault="00852456" w:rsidP="00852456">
      <w:pPr>
        <w:jc w:val="both"/>
      </w:pPr>
      <w:r w:rsidRPr="00673AA1">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6AFDC678" w14:textId="77777777" w:rsidR="00852456" w:rsidRPr="00673AA1" w:rsidRDefault="00852456" w:rsidP="00852456">
      <w:pPr>
        <w:jc w:val="both"/>
      </w:pPr>
      <w:r w:rsidRPr="00673AA1">
        <w:t xml:space="preserve">191. Where there is evidence of deliberate neglect of, or damage to, a heritage asset, the deteriorated state of the heritage asset should not be taken into account in any decision. </w:t>
      </w:r>
    </w:p>
    <w:p w14:paraId="24B3CAC7" w14:textId="77777777" w:rsidR="00852456" w:rsidRPr="00673AA1" w:rsidRDefault="00852456" w:rsidP="00852456">
      <w:pPr>
        <w:jc w:val="both"/>
      </w:pPr>
      <w:r w:rsidRPr="00673AA1">
        <w:t xml:space="preserve">192. In determining applications, local planning authorities should take account of: </w:t>
      </w:r>
    </w:p>
    <w:p w14:paraId="2076FE66" w14:textId="77777777" w:rsidR="00852456" w:rsidRPr="00673AA1" w:rsidRDefault="00852456" w:rsidP="00852456">
      <w:pPr>
        <w:jc w:val="both"/>
      </w:pPr>
      <w:r w:rsidRPr="00673AA1">
        <w:t xml:space="preserve">a) the desirability of sustaining and enhancing the significance of heritage assets and putting them to viable uses consistent with their conservation; </w:t>
      </w:r>
    </w:p>
    <w:p w14:paraId="100A5B2F" w14:textId="77777777"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14:paraId="7858E287" w14:textId="77777777" w:rsidR="00852456" w:rsidRPr="00673AA1" w:rsidRDefault="00852456" w:rsidP="00852456">
      <w:pPr>
        <w:jc w:val="both"/>
      </w:pPr>
      <w:r w:rsidRPr="00673AA1">
        <w:t>c) the desirability of new development making a positive contribution to local character and distinctiveness.</w:t>
      </w:r>
    </w:p>
    <w:p w14:paraId="04F747B0" w14:textId="77777777" w:rsidR="00852456" w:rsidRPr="00673AA1" w:rsidRDefault="00852456" w:rsidP="00852456">
      <w:pPr>
        <w:jc w:val="both"/>
        <w:rPr>
          <w:b/>
          <w:u w:val="single"/>
        </w:rPr>
      </w:pPr>
      <w:r w:rsidRPr="00673AA1">
        <w:rPr>
          <w:b/>
          <w:u w:val="single"/>
        </w:rPr>
        <w:t xml:space="preserve">Considering potential impacts </w:t>
      </w:r>
    </w:p>
    <w:p w14:paraId="1D85DB1E" w14:textId="77777777"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3333DFDF" w14:textId="77777777"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14:paraId="68203CE9" w14:textId="77777777" w:rsidR="00852456" w:rsidRPr="00673AA1" w:rsidRDefault="00852456" w:rsidP="00852456">
      <w:pPr>
        <w:jc w:val="both"/>
      </w:pPr>
      <w:r w:rsidRPr="00673AA1">
        <w:t xml:space="preserve">a) grade II listed buildings, or grade II registered parks or gardens, should be exceptional; </w:t>
      </w:r>
    </w:p>
    <w:p w14:paraId="37CD9AC0" w14:textId="0D80DD53" w:rsidR="00852456" w:rsidRDefault="00852456" w:rsidP="00852456">
      <w:pPr>
        <w:jc w:val="both"/>
      </w:pPr>
      <w:r w:rsidRPr="00673AA1">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14:paraId="49489890" w14:textId="046FB875" w:rsidR="006A28E1" w:rsidRPr="00314FD1" w:rsidRDefault="006A28E1" w:rsidP="006A28E1">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B318E16" w14:textId="4D04079E" w:rsidR="006A28E1" w:rsidRPr="00314FD1" w:rsidRDefault="006A28E1" w:rsidP="006A28E1">
      <w:pPr>
        <w:jc w:val="both"/>
        <w:rPr>
          <w:rFonts w:cstheme="minorHAnsi"/>
        </w:rPr>
      </w:pPr>
      <w:r w:rsidRPr="00314FD1">
        <w:rPr>
          <w:rFonts w:cstheme="minorHAnsi"/>
        </w:rPr>
        <w:t xml:space="preserve">197. In determining applications, local planning authorities should take account of: </w:t>
      </w:r>
    </w:p>
    <w:p w14:paraId="5724A74D" w14:textId="77777777" w:rsidR="006A28E1" w:rsidRPr="00314FD1" w:rsidRDefault="006A28E1" w:rsidP="006A28E1">
      <w:pPr>
        <w:pStyle w:val="ListParagraph"/>
        <w:numPr>
          <w:ilvl w:val="0"/>
          <w:numId w:val="10"/>
        </w:numPr>
        <w:jc w:val="both"/>
        <w:rPr>
          <w:rFonts w:cstheme="minorHAnsi"/>
        </w:rPr>
      </w:pPr>
      <w:r w:rsidRPr="00314FD1">
        <w:rPr>
          <w:rFonts w:cstheme="minorHAnsi"/>
        </w:rPr>
        <w:lastRenderedPageBreak/>
        <w:t xml:space="preserve">the desirability of sustaining and enhancing the significance of heritage assets and putting them to viable uses consistent with their conservation; </w:t>
      </w:r>
    </w:p>
    <w:p w14:paraId="34331AFD" w14:textId="77777777" w:rsidR="006A28E1" w:rsidRPr="00314FD1" w:rsidRDefault="006A28E1" w:rsidP="006A28E1">
      <w:pPr>
        <w:pStyle w:val="ListParagraph"/>
        <w:jc w:val="both"/>
        <w:rPr>
          <w:rFonts w:cstheme="minorHAnsi"/>
        </w:rPr>
      </w:pPr>
    </w:p>
    <w:p w14:paraId="279F2E2F" w14:textId="77777777" w:rsidR="006A28E1" w:rsidRPr="00314FD1" w:rsidRDefault="006A28E1" w:rsidP="006A28E1">
      <w:pPr>
        <w:pStyle w:val="ListParagraph"/>
        <w:numPr>
          <w:ilvl w:val="0"/>
          <w:numId w:val="10"/>
        </w:numPr>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20BB857C" w14:textId="77777777" w:rsidR="006A28E1" w:rsidRPr="00314FD1" w:rsidRDefault="006A28E1" w:rsidP="006A28E1">
      <w:pPr>
        <w:pStyle w:val="ListParagraph"/>
        <w:rPr>
          <w:rFonts w:cstheme="minorHAnsi"/>
        </w:rPr>
      </w:pPr>
    </w:p>
    <w:p w14:paraId="7E6BA3DE" w14:textId="127C1246" w:rsidR="006A28E1" w:rsidRPr="006A28E1" w:rsidRDefault="006A28E1" w:rsidP="006A28E1">
      <w:pPr>
        <w:pStyle w:val="ListParagraph"/>
        <w:numPr>
          <w:ilvl w:val="0"/>
          <w:numId w:val="10"/>
        </w:numPr>
        <w:jc w:val="both"/>
        <w:rPr>
          <w:rFonts w:cstheme="minorHAnsi"/>
        </w:rPr>
      </w:pPr>
      <w:r w:rsidRPr="00314FD1">
        <w:rPr>
          <w:rFonts w:cstheme="minorHAnsi"/>
        </w:rPr>
        <w:t>the desirability of new development making a positive contribution to local character and distinctiveness.</w:t>
      </w:r>
    </w:p>
    <w:p w14:paraId="027A782F" w14:textId="77777777" w:rsidR="006A28E1" w:rsidRPr="00314FD1" w:rsidRDefault="006A28E1" w:rsidP="006A28E1">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2F61525B" w14:textId="77777777" w:rsidR="006A28E1" w:rsidRPr="00314FD1" w:rsidRDefault="006A28E1" w:rsidP="006A28E1">
      <w:pPr>
        <w:jc w:val="both"/>
        <w:rPr>
          <w:rFonts w:cstheme="minorHAnsi"/>
        </w:rPr>
      </w:pPr>
    </w:p>
    <w:p w14:paraId="1AF387B6" w14:textId="3239D9AE" w:rsidR="006A28E1" w:rsidRPr="00314FD1" w:rsidRDefault="006A28E1" w:rsidP="006A28E1">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0BAA014D" w14:textId="77777777" w:rsidR="006A28E1" w:rsidRPr="00314FD1" w:rsidRDefault="006A28E1" w:rsidP="006A28E1">
      <w:pPr>
        <w:jc w:val="both"/>
        <w:rPr>
          <w:rFonts w:cstheme="minorHAnsi"/>
        </w:rPr>
      </w:pPr>
      <w:r w:rsidRPr="00314FD1">
        <w:rPr>
          <w:rFonts w:cstheme="minorHAnsi"/>
        </w:rPr>
        <w:t xml:space="preserve">a) grade II listed buildings, or grade II registered parks or gardens, should be exceptional; </w:t>
      </w:r>
    </w:p>
    <w:p w14:paraId="14009295" w14:textId="77777777" w:rsidR="006A28E1" w:rsidRPr="00314FD1" w:rsidRDefault="006A28E1" w:rsidP="006A28E1">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4F5F9514" w14:textId="77777777" w:rsidR="006A28E1" w:rsidRPr="006A28E1" w:rsidRDefault="006A28E1" w:rsidP="006A28E1">
      <w:pPr>
        <w:pStyle w:val="NormalWeb"/>
        <w:shd w:val="clear" w:color="auto" w:fill="FFFFFF"/>
        <w:spacing w:before="300" w:beforeAutospacing="0" w:after="300" w:afterAutospacing="0"/>
        <w:rPr>
          <w:rFonts w:ascii="Calibri" w:hAnsi="Calibri" w:cs="Calibri"/>
          <w:color w:val="0B0C0C"/>
          <w:sz w:val="22"/>
          <w:szCs w:val="22"/>
        </w:rPr>
      </w:pPr>
      <w:r w:rsidRPr="006A28E1">
        <w:rPr>
          <w:rStyle w:val="Strong"/>
          <w:rFonts w:ascii="Calibri" w:hAnsi="Calibri" w:cs="Calibri"/>
          <w:b w:val="0"/>
          <w:bCs w:val="0"/>
          <w:color w:val="0B0C0C"/>
          <w:sz w:val="22"/>
          <w:szCs w:val="22"/>
        </w:rPr>
        <w:t>201.</w:t>
      </w:r>
      <w:r w:rsidRPr="006A28E1">
        <w:rPr>
          <w:rFonts w:ascii="Calibri" w:hAnsi="Calibri" w:cs="Calibr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0E70413" w14:textId="77777777" w:rsidR="006A28E1" w:rsidRPr="006A28E1" w:rsidRDefault="006A28E1" w:rsidP="006A28E1">
      <w:pPr>
        <w:pStyle w:val="NormalWeb"/>
        <w:shd w:val="clear" w:color="auto" w:fill="FFFFFF"/>
        <w:spacing w:before="300" w:beforeAutospacing="0" w:after="300" w:afterAutospacing="0"/>
        <w:rPr>
          <w:rFonts w:ascii="Calibri" w:hAnsi="Calibri" w:cs="Calibri"/>
          <w:color w:val="0B0C0C"/>
          <w:sz w:val="22"/>
          <w:szCs w:val="22"/>
        </w:rPr>
      </w:pPr>
      <w:r w:rsidRPr="006A28E1">
        <w:rPr>
          <w:rFonts w:ascii="Calibri" w:hAnsi="Calibri" w:cs="Calibri"/>
          <w:color w:val="0B0C0C"/>
          <w:sz w:val="22"/>
          <w:szCs w:val="22"/>
        </w:rPr>
        <w:t>(a) the nature of the heritage asset prevents all reasonable uses of the site; and</w:t>
      </w:r>
    </w:p>
    <w:p w14:paraId="5993FE47" w14:textId="77777777" w:rsidR="006A28E1" w:rsidRPr="006A28E1" w:rsidRDefault="006A28E1" w:rsidP="006A28E1">
      <w:pPr>
        <w:pStyle w:val="NormalWeb"/>
        <w:shd w:val="clear" w:color="auto" w:fill="FFFFFF"/>
        <w:spacing w:before="300" w:beforeAutospacing="0" w:after="300" w:afterAutospacing="0"/>
        <w:rPr>
          <w:rFonts w:ascii="Calibri" w:hAnsi="Calibri" w:cs="Calibri"/>
          <w:color w:val="0B0C0C"/>
          <w:sz w:val="22"/>
          <w:szCs w:val="22"/>
        </w:rPr>
      </w:pPr>
      <w:r w:rsidRPr="006A28E1">
        <w:rPr>
          <w:rFonts w:ascii="Calibri" w:hAnsi="Calibri" w:cs="Calibri"/>
          <w:color w:val="0B0C0C"/>
          <w:sz w:val="22"/>
          <w:szCs w:val="22"/>
        </w:rPr>
        <w:t>(b) no viable use of the heritage asset itself can be found in the medium term through appropriate marketing that will enable its conservation; and</w:t>
      </w:r>
    </w:p>
    <w:p w14:paraId="1D8EDE89" w14:textId="77777777" w:rsidR="006A28E1" w:rsidRPr="006A28E1" w:rsidRDefault="006A28E1" w:rsidP="006A28E1">
      <w:pPr>
        <w:pStyle w:val="NormalWeb"/>
        <w:shd w:val="clear" w:color="auto" w:fill="FFFFFF"/>
        <w:spacing w:before="300" w:beforeAutospacing="0" w:after="300" w:afterAutospacing="0"/>
        <w:rPr>
          <w:rFonts w:ascii="Calibri" w:hAnsi="Calibri" w:cs="Calibri"/>
          <w:color w:val="0B0C0C"/>
          <w:sz w:val="22"/>
          <w:szCs w:val="22"/>
        </w:rPr>
      </w:pPr>
      <w:r w:rsidRPr="006A28E1">
        <w:rPr>
          <w:rFonts w:ascii="Calibri" w:hAnsi="Calibri" w:cs="Calibri"/>
          <w:color w:val="0B0C0C"/>
          <w:sz w:val="22"/>
          <w:szCs w:val="22"/>
        </w:rPr>
        <w:t>(c) conservation by grant-funding or some form of not for profit, charitable or public ownership is demonstrably not possible; and</w:t>
      </w:r>
    </w:p>
    <w:p w14:paraId="0CFBE119" w14:textId="77777777" w:rsidR="006A28E1" w:rsidRPr="006A28E1" w:rsidRDefault="006A28E1" w:rsidP="006A28E1">
      <w:pPr>
        <w:pStyle w:val="NormalWeb"/>
        <w:shd w:val="clear" w:color="auto" w:fill="FFFFFF"/>
        <w:spacing w:before="300" w:beforeAutospacing="0" w:after="300" w:afterAutospacing="0"/>
        <w:rPr>
          <w:rFonts w:asciiTheme="minorHAnsi" w:hAnsiTheme="minorHAnsi" w:cstheme="minorHAnsi"/>
          <w:color w:val="0B0C0C"/>
          <w:sz w:val="22"/>
          <w:szCs w:val="22"/>
        </w:rPr>
      </w:pPr>
      <w:r w:rsidRPr="006A28E1">
        <w:rPr>
          <w:rFonts w:asciiTheme="minorHAnsi" w:hAnsiTheme="minorHAnsi" w:cstheme="minorHAnsi"/>
          <w:color w:val="0B0C0C"/>
          <w:sz w:val="22"/>
          <w:szCs w:val="22"/>
        </w:rPr>
        <w:t>(d) the harm or loss is outweighed by the benefit of bringing the site back into use.</w:t>
      </w:r>
    </w:p>
    <w:p w14:paraId="35F73FD1" w14:textId="34ADFB97" w:rsidR="006A28E1" w:rsidRDefault="006A28E1" w:rsidP="006A28E1">
      <w:pPr>
        <w:pStyle w:val="NormalWeb"/>
        <w:shd w:val="clear" w:color="auto" w:fill="FFFFFF"/>
        <w:spacing w:before="300" w:beforeAutospacing="0" w:after="300" w:afterAutospacing="0"/>
        <w:rPr>
          <w:rFonts w:asciiTheme="minorHAnsi" w:hAnsiTheme="minorHAnsi" w:cstheme="minorHAnsi"/>
          <w:color w:val="0B0C0C"/>
          <w:sz w:val="22"/>
          <w:szCs w:val="22"/>
        </w:rPr>
      </w:pPr>
      <w:r w:rsidRPr="006A28E1">
        <w:rPr>
          <w:rStyle w:val="Strong"/>
          <w:rFonts w:asciiTheme="minorHAnsi" w:hAnsiTheme="minorHAnsi" w:cstheme="minorHAnsi"/>
          <w:b w:val="0"/>
          <w:bCs w:val="0"/>
          <w:color w:val="0B0C0C"/>
          <w:sz w:val="22"/>
          <w:szCs w:val="22"/>
        </w:rPr>
        <w:t>202.</w:t>
      </w:r>
      <w:r w:rsidRPr="006A28E1">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75042D07" w14:textId="43A36E8C" w:rsidR="006A28E1" w:rsidRPr="00537C69" w:rsidRDefault="009E71B4" w:rsidP="00537C69">
      <w:pPr>
        <w:pStyle w:val="NormalWeb"/>
        <w:shd w:val="clear" w:color="auto" w:fill="FFFFFF"/>
        <w:spacing w:before="300" w:beforeAutospacing="0" w:after="300" w:afterAutospacing="0"/>
        <w:rPr>
          <w:rFonts w:asciiTheme="minorHAnsi" w:hAnsiTheme="minorHAnsi" w:cstheme="minorHAnsi"/>
          <w:color w:val="0B0C0C"/>
          <w:sz w:val="22"/>
          <w:szCs w:val="22"/>
        </w:rPr>
      </w:pPr>
      <w:r w:rsidRPr="009E71B4">
        <w:rPr>
          <w:rStyle w:val="Strong"/>
          <w:rFonts w:asciiTheme="minorHAnsi" w:hAnsiTheme="minorHAnsi" w:cstheme="minorHAnsi"/>
          <w:b w:val="0"/>
          <w:bCs w:val="0"/>
          <w:color w:val="0B0C0C"/>
          <w:sz w:val="22"/>
          <w:szCs w:val="22"/>
          <w:shd w:val="clear" w:color="auto" w:fill="FFFFFF"/>
        </w:rPr>
        <w:t>203.</w:t>
      </w:r>
      <w:r w:rsidRPr="009E71B4">
        <w:rPr>
          <w:rFonts w:asciiTheme="minorHAnsi" w:hAnsiTheme="minorHAnsi" w:cstheme="minorHAnsi"/>
          <w:color w:val="0B0C0C"/>
          <w:sz w:val="22"/>
          <w:szCs w:val="22"/>
          <w:shd w:val="clear" w:color="auto" w:fill="FFFFFF"/>
        </w:rPr>
        <w:t>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3B76AFB" w14:textId="7A018E28" w:rsidR="006A28E1" w:rsidRPr="006A28E1" w:rsidRDefault="006A28E1" w:rsidP="00852456">
      <w:pPr>
        <w:jc w:val="both"/>
        <w:rPr>
          <w:b/>
          <w:bCs/>
        </w:rPr>
      </w:pPr>
      <w:r w:rsidRPr="006A28E1">
        <w:rPr>
          <w:b/>
          <w:bCs/>
        </w:rPr>
        <w:t xml:space="preserve">Local Plan </w:t>
      </w:r>
    </w:p>
    <w:p w14:paraId="65B68500" w14:textId="77777777" w:rsidR="00E31470" w:rsidRPr="00673AA1" w:rsidRDefault="00E31470" w:rsidP="00852456">
      <w:pPr>
        <w:jc w:val="both"/>
      </w:pPr>
      <w:r w:rsidRPr="00673AA1">
        <w:t xml:space="preserve">With regards to local planning policy, the following are relevant: </w:t>
      </w:r>
    </w:p>
    <w:p w14:paraId="26193542"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301CD9CD"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5DDC697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6BC795FB"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62D1B984"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22C6D632"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4113FC74"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36C8C22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ECC83F1" w14:textId="77777777" w:rsidR="00046471" w:rsidRPr="00673AA1" w:rsidRDefault="00046471" w:rsidP="00C11393">
      <w:pPr>
        <w:autoSpaceDE w:val="0"/>
        <w:autoSpaceDN w:val="0"/>
        <w:adjustRightInd w:val="0"/>
        <w:spacing w:after="0" w:line="240" w:lineRule="auto"/>
        <w:jc w:val="both"/>
        <w:rPr>
          <w:rFonts w:cs="Arial"/>
          <w:bCs/>
        </w:rPr>
      </w:pPr>
    </w:p>
    <w:p w14:paraId="16EE9C7B"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5AF5CBA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293F0D6" w14:textId="77777777" w:rsidR="001C3AF7" w:rsidRPr="00673AA1" w:rsidRDefault="001C3AF7" w:rsidP="00C11393">
      <w:pPr>
        <w:jc w:val="both"/>
      </w:pPr>
      <w:r w:rsidRPr="00673AA1">
        <w:rPr>
          <w:rFonts w:cs="Arial"/>
          <w:bCs/>
        </w:rPr>
        <w:t>where possible positive opportunities to conserve and enjoy heritage assets.</w:t>
      </w:r>
    </w:p>
    <w:p w14:paraId="76A7B447" w14:textId="77777777" w:rsidR="00E26968" w:rsidRPr="00673AA1" w:rsidRDefault="00E26968" w:rsidP="00E31B3A">
      <w:pPr>
        <w:pStyle w:val="Default"/>
        <w:jc w:val="both"/>
        <w:rPr>
          <w:sz w:val="22"/>
          <w:szCs w:val="22"/>
        </w:rPr>
      </w:pPr>
    </w:p>
    <w:p w14:paraId="10FEF3B6" w14:textId="27C6934C" w:rsidR="00852456" w:rsidRPr="00673AA1" w:rsidRDefault="00E26968"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1FD859FF" w14:textId="77777777" w:rsidR="002B3D0D" w:rsidRPr="00673AA1" w:rsidRDefault="002B3D0D" w:rsidP="00E31B3A">
      <w:pPr>
        <w:pStyle w:val="Default"/>
        <w:jc w:val="both"/>
        <w:rPr>
          <w:b/>
          <w:sz w:val="22"/>
          <w:szCs w:val="22"/>
          <w:u w:val="single"/>
        </w:rPr>
      </w:pPr>
    </w:p>
    <w:p w14:paraId="2C28A1A3" w14:textId="551172F5" w:rsidR="0029555C" w:rsidRDefault="00544E34" w:rsidP="001058A7">
      <w:pPr>
        <w:pStyle w:val="Default"/>
        <w:numPr>
          <w:ilvl w:val="1"/>
          <w:numId w:val="11"/>
        </w:numPr>
        <w:jc w:val="both"/>
        <w:rPr>
          <w:sz w:val="22"/>
          <w:szCs w:val="22"/>
        </w:rPr>
      </w:pPr>
      <w:r>
        <w:rPr>
          <w:sz w:val="22"/>
          <w:szCs w:val="22"/>
        </w:rPr>
        <w:t>The</w:t>
      </w:r>
      <w:r w:rsidR="00D44B83">
        <w:rPr>
          <w:sz w:val="22"/>
          <w:szCs w:val="22"/>
        </w:rPr>
        <w:t xml:space="preserve"> site currently includes </w:t>
      </w:r>
      <w:r w:rsidR="0029555C">
        <w:rPr>
          <w:sz w:val="22"/>
          <w:szCs w:val="22"/>
        </w:rPr>
        <w:t xml:space="preserve">a </w:t>
      </w:r>
      <w:r w:rsidR="00537C69">
        <w:rPr>
          <w:sz w:val="22"/>
          <w:szCs w:val="22"/>
        </w:rPr>
        <w:t xml:space="preserve">metal frame </w:t>
      </w:r>
      <w:r w:rsidR="0029555C">
        <w:rPr>
          <w:sz w:val="22"/>
          <w:szCs w:val="22"/>
        </w:rPr>
        <w:t>racking system</w:t>
      </w:r>
      <w:r w:rsidR="00537C69">
        <w:rPr>
          <w:sz w:val="22"/>
          <w:szCs w:val="22"/>
        </w:rPr>
        <w:t xml:space="preserve"> for the storage of commercial equipment.</w:t>
      </w:r>
      <w:r w:rsidR="0029555C">
        <w:rPr>
          <w:sz w:val="22"/>
          <w:szCs w:val="22"/>
        </w:rPr>
        <w:t xml:space="preserve"> The proposed new racking system will be in a similar location within the operations yard</w:t>
      </w:r>
      <w:r w:rsidR="00AD263F">
        <w:rPr>
          <w:sz w:val="22"/>
          <w:szCs w:val="22"/>
        </w:rPr>
        <w:t xml:space="preserve">, adjacent to the shared boundary with No. 7 </w:t>
      </w:r>
      <w:r w:rsidR="00883B85">
        <w:rPr>
          <w:sz w:val="22"/>
          <w:szCs w:val="22"/>
        </w:rPr>
        <w:t>Brockhampton</w:t>
      </w:r>
      <w:r w:rsidR="00AD263F">
        <w:rPr>
          <w:sz w:val="22"/>
          <w:szCs w:val="22"/>
        </w:rPr>
        <w:t xml:space="preserve"> Road, which is a non-designated heritage asset. There is a </w:t>
      </w:r>
      <w:r w:rsidR="00537C69">
        <w:rPr>
          <w:sz w:val="22"/>
          <w:szCs w:val="22"/>
        </w:rPr>
        <w:t>tall</w:t>
      </w:r>
      <w:r w:rsidR="00AD263F">
        <w:rPr>
          <w:sz w:val="22"/>
          <w:szCs w:val="22"/>
        </w:rPr>
        <w:t xml:space="preserve"> row of leylandii within the boundary of No. 7 which </w:t>
      </w:r>
      <w:r w:rsidR="00537C69">
        <w:rPr>
          <w:sz w:val="22"/>
          <w:szCs w:val="22"/>
        </w:rPr>
        <w:t xml:space="preserve">provides a good level of screening </w:t>
      </w:r>
      <w:r w:rsidR="00AD263F">
        <w:rPr>
          <w:sz w:val="22"/>
          <w:szCs w:val="22"/>
        </w:rPr>
        <w:t>from the site. The racking will be slightly visible</w:t>
      </w:r>
      <w:r w:rsidR="001058A7">
        <w:rPr>
          <w:sz w:val="22"/>
          <w:szCs w:val="22"/>
        </w:rPr>
        <w:t>, where the hedge coverage is not as thick however, overall given that this relationship already exists, it</w:t>
      </w:r>
      <w:r w:rsidR="00AD263F">
        <w:rPr>
          <w:sz w:val="22"/>
          <w:szCs w:val="22"/>
        </w:rPr>
        <w:t xml:space="preserve"> is not considered</w:t>
      </w:r>
      <w:r w:rsidR="001058A7">
        <w:rPr>
          <w:sz w:val="22"/>
          <w:szCs w:val="22"/>
        </w:rPr>
        <w:t xml:space="preserve"> that the replacement racking will result in any further direct impact and </w:t>
      </w:r>
      <w:r w:rsidR="00F4201D">
        <w:rPr>
          <w:sz w:val="22"/>
          <w:szCs w:val="22"/>
        </w:rPr>
        <w:t>there will be no</w:t>
      </w:r>
      <w:r w:rsidR="001058A7">
        <w:rPr>
          <w:sz w:val="22"/>
          <w:szCs w:val="22"/>
        </w:rPr>
        <w:t xml:space="preserve"> increase in harm to either the CA or the nearby heritage assets. </w:t>
      </w:r>
    </w:p>
    <w:p w14:paraId="147B2649" w14:textId="62FD14BE" w:rsidR="001058A7" w:rsidRDefault="001058A7" w:rsidP="001058A7">
      <w:pPr>
        <w:pStyle w:val="Default"/>
        <w:jc w:val="both"/>
        <w:rPr>
          <w:sz w:val="22"/>
          <w:szCs w:val="22"/>
        </w:rPr>
      </w:pPr>
    </w:p>
    <w:p w14:paraId="2211A301" w14:textId="2F80649A" w:rsidR="001058A7" w:rsidRPr="001058A7" w:rsidRDefault="001058A7" w:rsidP="001058A7">
      <w:pPr>
        <w:pStyle w:val="Default"/>
        <w:ind w:firstLine="720"/>
        <w:jc w:val="both"/>
        <w:rPr>
          <w:b/>
          <w:bCs/>
          <w:sz w:val="22"/>
          <w:szCs w:val="22"/>
        </w:rPr>
      </w:pPr>
      <w:r w:rsidRPr="00AD263F">
        <w:rPr>
          <w:b/>
          <w:bCs/>
          <w:sz w:val="22"/>
          <w:szCs w:val="22"/>
        </w:rPr>
        <w:t xml:space="preserve">Conclusion: </w:t>
      </w:r>
    </w:p>
    <w:p w14:paraId="54B75218" w14:textId="5D8B6E87" w:rsidR="0029555C" w:rsidRPr="001058A7" w:rsidRDefault="001058A7" w:rsidP="001058A7">
      <w:pPr>
        <w:pStyle w:val="Default"/>
        <w:jc w:val="both"/>
        <w:rPr>
          <w:sz w:val="22"/>
          <w:szCs w:val="22"/>
        </w:rPr>
      </w:pPr>
      <w:r>
        <w:rPr>
          <w:sz w:val="22"/>
          <w:szCs w:val="22"/>
        </w:rPr>
        <w:t xml:space="preserve"> </w:t>
      </w:r>
    </w:p>
    <w:p w14:paraId="5951C88F" w14:textId="6B355355" w:rsidR="00AD263F" w:rsidRPr="00AD263F" w:rsidRDefault="00AD263F" w:rsidP="001058A7">
      <w:pPr>
        <w:pStyle w:val="Default"/>
        <w:ind w:firstLine="720"/>
        <w:jc w:val="both"/>
        <w:rPr>
          <w:b/>
          <w:bCs/>
          <w:sz w:val="22"/>
          <w:szCs w:val="22"/>
        </w:rPr>
      </w:pPr>
      <w:r w:rsidRPr="00AD263F">
        <w:rPr>
          <w:b/>
          <w:bCs/>
          <w:sz w:val="22"/>
          <w:szCs w:val="22"/>
        </w:rPr>
        <w:t xml:space="preserve">NO OBJECTION </w:t>
      </w:r>
    </w:p>
    <w:p w14:paraId="502E5099" w14:textId="1BD6CC09" w:rsidR="00C54AD6" w:rsidRDefault="00C54AD6" w:rsidP="00C54AD6">
      <w:pPr>
        <w:pStyle w:val="Default"/>
        <w:ind w:left="720" w:hanging="720"/>
        <w:jc w:val="both"/>
        <w:rPr>
          <w:sz w:val="22"/>
          <w:szCs w:val="22"/>
        </w:rPr>
      </w:pPr>
    </w:p>
    <w:p w14:paraId="671DBDE8"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7B0B604B" w14:textId="77777777" w:rsidR="00A574DA" w:rsidRDefault="00A574DA" w:rsidP="00E31B3A">
      <w:pPr>
        <w:pStyle w:val="Default"/>
        <w:jc w:val="both"/>
        <w:rPr>
          <w:sz w:val="22"/>
          <w:szCs w:val="22"/>
        </w:rPr>
      </w:pPr>
    </w:p>
    <w:sectPr w:rsidR="00A574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E50C51"/>
    <w:multiLevelType w:val="multilevel"/>
    <w:tmpl w:val="4CB664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940207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5193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1122025">
    <w:abstractNumId w:val="5"/>
  </w:num>
  <w:num w:numId="4" w16cid:durableId="812285115">
    <w:abstractNumId w:val="4"/>
  </w:num>
  <w:num w:numId="5" w16cid:durableId="782119483">
    <w:abstractNumId w:val="8"/>
  </w:num>
  <w:num w:numId="6" w16cid:durableId="975523289">
    <w:abstractNumId w:val="0"/>
  </w:num>
  <w:num w:numId="7" w16cid:durableId="94251389">
    <w:abstractNumId w:val="7"/>
  </w:num>
  <w:num w:numId="8" w16cid:durableId="1832722088">
    <w:abstractNumId w:val="6"/>
  </w:num>
  <w:num w:numId="9" w16cid:durableId="11496610">
    <w:abstractNumId w:val="2"/>
  </w:num>
  <w:num w:numId="10" w16cid:durableId="897978139">
    <w:abstractNumId w:val="1"/>
  </w:num>
  <w:num w:numId="11" w16cid:durableId="10715429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51FB"/>
    <w:rsid w:val="00031E65"/>
    <w:rsid w:val="00046471"/>
    <w:rsid w:val="0005027C"/>
    <w:rsid w:val="000614A8"/>
    <w:rsid w:val="000634CD"/>
    <w:rsid w:val="00097C66"/>
    <w:rsid w:val="000A653F"/>
    <w:rsid w:val="000D155D"/>
    <w:rsid w:val="000D6036"/>
    <w:rsid w:val="001058A7"/>
    <w:rsid w:val="0012486A"/>
    <w:rsid w:val="00181768"/>
    <w:rsid w:val="001C3AF7"/>
    <w:rsid w:val="002707C4"/>
    <w:rsid w:val="00272D95"/>
    <w:rsid w:val="00274FB6"/>
    <w:rsid w:val="00280006"/>
    <w:rsid w:val="00292B37"/>
    <w:rsid w:val="0029555C"/>
    <w:rsid w:val="002B284B"/>
    <w:rsid w:val="002B3D0D"/>
    <w:rsid w:val="002C7C58"/>
    <w:rsid w:val="00306A94"/>
    <w:rsid w:val="00324797"/>
    <w:rsid w:val="00332A3A"/>
    <w:rsid w:val="00376316"/>
    <w:rsid w:val="00377099"/>
    <w:rsid w:val="00440348"/>
    <w:rsid w:val="004542E1"/>
    <w:rsid w:val="004642E7"/>
    <w:rsid w:val="004673DC"/>
    <w:rsid w:val="004E3CAC"/>
    <w:rsid w:val="004F6F64"/>
    <w:rsid w:val="00537C69"/>
    <w:rsid w:val="00544E34"/>
    <w:rsid w:val="005C255C"/>
    <w:rsid w:val="006040C6"/>
    <w:rsid w:val="00673AA1"/>
    <w:rsid w:val="006807B0"/>
    <w:rsid w:val="00682DA3"/>
    <w:rsid w:val="006A28E1"/>
    <w:rsid w:val="006A54BC"/>
    <w:rsid w:val="006B5B64"/>
    <w:rsid w:val="00725EED"/>
    <w:rsid w:val="007948C2"/>
    <w:rsid w:val="007A24A0"/>
    <w:rsid w:val="007C574E"/>
    <w:rsid w:val="00852456"/>
    <w:rsid w:val="00854D56"/>
    <w:rsid w:val="00872C31"/>
    <w:rsid w:val="00883B85"/>
    <w:rsid w:val="00930B9D"/>
    <w:rsid w:val="00930C2D"/>
    <w:rsid w:val="009728F1"/>
    <w:rsid w:val="00984F41"/>
    <w:rsid w:val="009B1EFC"/>
    <w:rsid w:val="009D5CEF"/>
    <w:rsid w:val="009E71B4"/>
    <w:rsid w:val="00A3167A"/>
    <w:rsid w:val="00A54386"/>
    <w:rsid w:val="00A574DA"/>
    <w:rsid w:val="00AA3EBF"/>
    <w:rsid w:val="00AB323F"/>
    <w:rsid w:val="00AD263F"/>
    <w:rsid w:val="00B0774E"/>
    <w:rsid w:val="00B42C4C"/>
    <w:rsid w:val="00BE1F2E"/>
    <w:rsid w:val="00BE59F6"/>
    <w:rsid w:val="00BF657F"/>
    <w:rsid w:val="00BF67AB"/>
    <w:rsid w:val="00C02690"/>
    <w:rsid w:val="00C05141"/>
    <w:rsid w:val="00C11393"/>
    <w:rsid w:val="00C54AD6"/>
    <w:rsid w:val="00CA11A3"/>
    <w:rsid w:val="00CD4C97"/>
    <w:rsid w:val="00CE4CC6"/>
    <w:rsid w:val="00CE52E9"/>
    <w:rsid w:val="00D10755"/>
    <w:rsid w:val="00D30228"/>
    <w:rsid w:val="00D44B83"/>
    <w:rsid w:val="00DB60BA"/>
    <w:rsid w:val="00DC052A"/>
    <w:rsid w:val="00DC36E1"/>
    <w:rsid w:val="00DD38FB"/>
    <w:rsid w:val="00E236AF"/>
    <w:rsid w:val="00E26968"/>
    <w:rsid w:val="00E307EA"/>
    <w:rsid w:val="00E31470"/>
    <w:rsid w:val="00E31B3A"/>
    <w:rsid w:val="00EA43A9"/>
    <w:rsid w:val="00EB7B29"/>
    <w:rsid w:val="00ED0554"/>
    <w:rsid w:val="00EE2909"/>
    <w:rsid w:val="00F30B1F"/>
    <w:rsid w:val="00F4201D"/>
    <w:rsid w:val="00F426F9"/>
    <w:rsid w:val="00F45927"/>
    <w:rsid w:val="00F91CAF"/>
    <w:rsid w:val="00F91FE6"/>
    <w:rsid w:val="00FA2519"/>
    <w:rsid w:val="00FB0F80"/>
    <w:rsid w:val="00FB5AB4"/>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6BB7"/>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6A28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A28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139816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1746</Words>
  <Characters>9958</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2023-04-27T09:30:00Z</dcterms:created>
  <dcterms:modified xsi:type="dcterms:W3CDTF">2023-04-27T09:30:00Z</dcterms:modified>
</cp:coreProperties>
</file>