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6B0B8136" w:rsidR="00F91FE6" w:rsidRPr="009327D6" w:rsidRDefault="00F91FE6" w:rsidP="00852456">
      <w:pPr>
        <w:jc w:val="both"/>
        <w:rPr>
          <w:rFonts w:cstheme="minorHAnsi"/>
          <w:b/>
          <w:u w:val="single"/>
        </w:rPr>
      </w:pPr>
      <w:r w:rsidRPr="009327D6">
        <w:rPr>
          <w:rFonts w:cstheme="minorHAnsi"/>
          <w:b/>
          <w:u w:val="single"/>
        </w:rPr>
        <w:t>Date –</w:t>
      </w:r>
      <w:r w:rsidR="009428FD">
        <w:rPr>
          <w:rFonts w:cstheme="minorHAnsi"/>
          <w:b/>
          <w:u w:val="single"/>
        </w:rPr>
        <w:t xml:space="preserve"> </w:t>
      </w:r>
      <w:r w:rsidR="009736E8">
        <w:rPr>
          <w:rFonts w:cstheme="minorHAnsi"/>
          <w:b/>
          <w:u w:val="single"/>
        </w:rPr>
        <w:t>4/7</w:t>
      </w:r>
      <w:r w:rsidR="003F414D">
        <w:rPr>
          <w:rFonts w:cstheme="minorHAnsi"/>
          <w:b/>
          <w:u w:val="single"/>
        </w:rPr>
        <w:t>/2023</w:t>
      </w:r>
    </w:p>
    <w:p w14:paraId="53855C3A" w14:textId="401BED5E" w:rsidR="00852456" w:rsidRDefault="00F86F4B" w:rsidP="00852456">
      <w:pPr>
        <w:jc w:val="both"/>
        <w:rPr>
          <w:rFonts w:cstheme="minorHAnsi"/>
          <w:b/>
          <w:u w:val="single"/>
        </w:rPr>
      </w:pPr>
      <w:r>
        <w:rPr>
          <w:rFonts w:cstheme="minorHAnsi"/>
          <w:b/>
          <w:u w:val="single"/>
        </w:rPr>
        <w:t>APP/23/</w:t>
      </w:r>
      <w:r w:rsidR="00123301">
        <w:rPr>
          <w:rFonts w:cstheme="minorHAnsi"/>
          <w:b/>
          <w:u w:val="single"/>
        </w:rPr>
        <w:t>00</w:t>
      </w:r>
      <w:r w:rsidR="009736E8">
        <w:rPr>
          <w:rFonts w:cstheme="minorHAnsi"/>
          <w:b/>
          <w:u w:val="single"/>
        </w:rPr>
        <w:t xml:space="preserve">453 – 1 Yew Tree Road, Hayling Island. </w:t>
      </w:r>
      <w:r w:rsidR="00DA19B4">
        <w:rPr>
          <w:rFonts w:cstheme="minorHAnsi"/>
          <w:b/>
          <w:u w:val="single"/>
        </w:rPr>
        <w:t xml:space="preserve"> </w:t>
      </w:r>
      <w:r w:rsidR="00852456" w:rsidRPr="009327D6">
        <w:rPr>
          <w:rFonts w:cstheme="minorHAnsi"/>
          <w:b/>
          <w:u w:val="single"/>
        </w:rPr>
        <w:t xml:space="preserve"> </w:t>
      </w:r>
    </w:p>
    <w:p w14:paraId="074D5120" w14:textId="0C8CC6D2" w:rsidR="00F86F4B" w:rsidRDefault="00F86F4B" w:rsidP="00F86F4B">
      <w:pPr>
        <w:jc w:val="both"/>
        <w:rPr>
          <w:rFonts w:cstheme="minorHAnsi"/>
          <w:b/>
          <w:u w:val="single"/>
        </w:rPr>
      </w:pPr>
      <w:r w:rsidRPr="009327D6">
        <w:rPr>
          <w:rFonts w:cstheme="minorHAnsi"/>
          <w:b/>
          <w:u w:val="single"/>
        </w:rPr>
        <w:t>Background</w:t>
      </w:r>
    </w:p>
    <w:p w14:paraId="15B1459F" w14:textId="28A1002C" w:rsidR="007E1687" w:rsidRPr="002D0D6B" w:rsidRDefault="009F782C" w:rsidP="007E1687">
      <w:pPr>
        <w:jc w:val="both"/>
      </w:pPr>
      <w:r>
        <w:t xml:space="preserve">The application site </w:t>
      </w:r>
      <w:r w:rsidR="007E1687">
        <w:t>is</w:t>
      </w:r>
      <w:r w:rsidR="009428FD">
        <w:t xml:space="preserve"> located on </w:t>
      </w:r>
      <w:r w:rsidR="009736E8">
        <w:t xml:space="preserve">Yew Tree Road in Hayling Island. It comprises a detached bungalow of brick and tile construction, set back from the highway with a paved front parking area. The site is adjacent to the Yew Tree public house which is a Grade II listed building. This building fronts onto Havant Road but has a rear beer garden and side parking area, both of which back onto Yew Tree Road. The beer garden boundary abuts the side boundary of the application site. </w:t>
      </w:r>
    </w:p>
    <w:p w14:paraId="09E9DCD0" w14:textId="77777777" w:rsidR="00F86F4B" w:rsidRPr="0079518A" w:rsidRDefault="00F86F4B" w:rsidP="00F86F4B">
      <w:pPr>
        <w:jc w:val="both"/>
        <w:rPr>
          <w:rFonts w:cstheme="minorHAnsi"/>
          <w:b/>
          <w:bCs/>
          <w:u w:val="single"/>
        </w:rPr>
      </w:pPr>
      <w:r w:rsidRPr="009327D6">
        <w:rPr>
          <w:rFonts w:cstheme="minorHAnsi"/>
          <w:b/>
          <w:bCs/>
          <w:u w:val="single"/>
        </w:rPr>
        <w:t>Proposal</w:t>
      </w:r>
    </w:p>
    <w:p w14:paraId="28CF4493" w14:textId="77777777" w:rsidR="009736E8" w:rsidRPr="009736E8" w:rsidRDefault="009736E8" w:rsidP="009736E8">
      <w:pPr>
        <w:autoSpaceDE w:val="0"/>
        <w:autoSpaceDN w:val="0"/>
        <w:adjustRightInd w:val="0"/>
        <w:spacing w:after="0" w:line="240" w:lineRule="auto"/>
        <w:rPr>
          <w:rFonts w:cstheme="minorHAnsi"/>
        </w:rPr>
      </w:pPr>
      <w:r w:rsidRPr="009736E8">
        <w:rPr>
          <w:rFonts w:cstheme="minorHAnsi"/>
        </w:rPr>
        <w:t>Loft conversion with front and rear dormers to provide additional bedroom, side extension to provide utility, revised treatment of front elevation.</w:t>
      </w:r>
    </w:p>
    <w:p w14:paraId="1ABE498A" w14:textId="1117F7C5" w:rsidR="00D36325" w:rsidRDefault="00D36325" w:rsidP="00F86F4B">
      <w:pPr>
        <w:autoSpaceDE w:val="0"/>
        <w:autoSpaceDN w:val="0"/>
        <w:adjustRightInd w:val="0"/>
        <w:spacing w:after="0" w:line="240" w:lineRule="auto"/>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77777777" w:rsidR="007A35EF" w:rsidRPr="00A074B9" w:rsidRDefault="007A35EF" w:rsidP="007A35EF">
      <w:pPr>
        <w:jc w:val="both"/>
      </w:pPr>
      <w:r w:rsidRPr="00673AA1">
        <w:t xml:space="preserve">When assessing the proposal, the following legislation and policy context is taken in consideration. </w:t>
      </w:r>
    </w:p>
    <w:p w14:paraId="17946090" w14:textId="77777777" w:rsidR="007A35EF" w:rsidRPr="00745AC2" w:rsidRDefault="007A35EF" w:rsidP="007A35EF">
      <w:pPr>
        <w:rPr>
          <w:rFonts w:cstheme="minorHAnsi"/>
          <w:u w:val="single"/>
        </w:rPr>
      </w:pPr>
      <w:r w:rsidRPr="00745AC2">
        <w:rPr>
          <w:rFonts w:cstheme="minorHAnsi"/>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p w14:paraId="32493E45" w14:textId="34067458" w:rsidR="007A35EF" w:rsidRDefault="007A35EF" w:rsidP="007A35EF">
      <w:pPr>
        <w:autoSpaceDE w:val="0"/>
        <w:autoSpaceDN w:val="0"/>
        <w:adjustRightInd w:val="0"/>
        <w:jc w:val="both"/>
        <w:rPr>
          <w:rFonts w:eastAsia="ArialMT" w:cstheme="minorHAnsi"/>
        </w:rPr>
      </w:pPr>
      <w:r w:rsidRPr="00745AC2">
        <w:rPr>
          <w:rFonts w:eastAsia="ArialMT" w:cstheme="minorHAnsi"/>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2FDF03AD" w14:textId="77777777" w:rsidR="007A35EF" w:rsidRPr="006D5E0B" w:rsidRDefault="007A35EF" w:rsidP="007A35EF">
      <w:pPr>
        <w:autoSpaceDE w:val="0"/>
        <w:autoSpaceDN w:val="0"/>
        <w:adjustRightInd w:val="0"/>
        <w:jc w:val="both"/>
        <w:rPr>
          <w:rFonts w:cstheme="minorHAnsi"/>
          <w:b/>
          <w:bCs/>
        </w:rPr>
      </w:pPr>
      <w:r w:rsidRPr="006D5E0B">
        <w:rPr>
          <w:rFonts w:cstheme="minorHAnsi"/>
          <w:b/>
          <w:bCs/>
        </w:rPr>
        <w:t>NPPF</w:t>
      </w:r>
    </w:p>
    <w:p w14:paraId="199CCF61" w14:textId="77777777" w:rsidR="007A35EF" w:rsidRPr="00314FD1" w:rsidRDefault="007A35EF" w:rsidP="007A35EF">
      <w:pPr>
        <w:jc w:val="both"/>
        <w:rPr>
          <w:rFonts w:cstheme="minorHAnsi"/>
        </w:rPr>
      </w:pPr>
      <w:r w:rsidRPr="00314FD1">
        <w:rPr>
          <w:rFonts w:cstheme="minorHAnsi"/>
        </w:rPr>
        <w:t>The revised NPPF (July 2021) sets out in Chapter 16, the core principles relating to development affecting Heritage Assets that local planning authorities should consider in making planning decisions in the following paragraphs:</w:t>
      </w:r>
    </w:p>
    <w:p w14:paraId="2FCC7350" w14:textId="77777777" w:rsidR="007A35EF" w:rsidRPr="00314FD1" w:rsidRDefault="007A35EF" w:rsidP="007A35EF">
      <w:pPr>
        <w:jc w:val="both"/>
        <w:rPr>
          <w:rFonts w:cstheme="minorHAnsi"/>
        </w:rPr>
      </w:pPr>
      <w:r w:rsidRPr="00314FD1">
        <w:rPr>
          <w:rFonts w:cstheme="minorHAnsi"/>
        </w:rPr>
        <w:t>189.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14:paraId="51708AF2" w14:textId="77777777" w:rsidR="007A35EF" w:rsidRPr="00314FD1" w:rsidRDefault="007A35EF" w:rsidP="007A35EF">
      <w:pPr>
        <w:jc w:val="both"/>
        <w:rPr>
          <w:rFonts w:cstheme="minorHAnsi"/>
        </w:rPr>
      </w:pPr>
      <w:r w:rsidRPr="00314FD1">
        <w:rPr>
          <w:rFonts w:cstheme="minorHAnsi"/>
        </w:rPr>
        <w:t xml:space="preserve">194.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658F394F" w14:textId="77777777" w:rsidR="007A35EF" w:rsidRPr="00314FD1" w:rsidRDefault="007A35EF" w:rsidP="007A35EF">
      <w:pPr>
        <w:jc w:val="both"/>
        <w:rPr>
          <w:rFonts w:cstheme="minorHAnsi"/>
        </w:rPr>
      </w:pPr>
      <w:r w:rsidRPr="00314FD1">
        <w:rPr>
          <w:rFonts w:cstheme="minorHAnsi"/>
        </w:rPr>
        <w:t xml:space="preserve">195.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42966BE8" w14:textId="77777777" w:rsidR="007A35EF" w:rsidRPr="00314FD1" w:rsidRDefault="007A35EF" w:rsidP="007A35EF">
      <w:pPr>
        <w:jc w:val="both"/>
        <w:rPr>
          <w:rFonts w:cstheme="minorHAnsi"/>
        </w:rPr>
      </w:pPr>
      <w:r w:rsidRPr="00314FD1">
        <w:rPr>
          <w:rFonts w:cstheme="minorHAnsi"/>
        </w:rPr>
        <w:t>196. Where there is evidence of deliberate neglect of, or damage to, a heritage asset, the deteriorated state of the heritage asset should not be taken into account in any decision.</w:t>
      </w:r>
    </w:p>
    <w:p w14:paraId="1FB685D0" w14:textId="77777777" w:rsidR="007A35EF" w:rsidRPr="00314FD1" w:rsidRDefault="007A35EF" w:rsidP="007A35EF">
      <w:pPr>
        <w:jc w:val="both"/>
        <w:rPr>
          <w:rFonts w:cstheme="minorHAnsi"/>
        </w:rPr>
      </w:pPr>
      <w:r w:rsidRPr="00314FD1">
        <w:rPr>
          <w:rFonts w:cstheme="minorHAnsi"/>
        </w:rPr>
        <w:t xml:space="preserve">197. In determining applications, local planning authorities should take account of: </w:t>
      </w:r>
    </w:p>
    <w:p w14:paraId="383850EF"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desirability of sustaining and enhancing the significance of heritage assets and putting them to viable uses consistent with their conservation; </w:t>
      </w:r>
    </w:p>
    <w:p w14:paraId="6385A887" w14:textId="77777777" w:rsidR="007A35EF" w:rsidRPr="00314FD1" w:rsidRDefault="007A35EF" w:rsidP="007A35EF">
      <w:pPr>
        <w:pStyle w:val="ListParagraph"/>
        <w:jc w:val="both"/>
        <w:rPr>
          <w:rFonts w:cstheme="minorHAnsi"/>
        </w:rPr>
      </w:pPr>
    </w:p>
    <w:p w14:paraId="199F3CBB"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positive contribution that conservation of heritage assets can make to sustainable communities including their economic vitality; and </w:t>
      </w:r>
    </w:p>
    <w:p w14:paraId="0CE984D0" w14:textId="77777777" w:rsidR="007A35EF" w:rsidRPr="00314FD1" w:rsidRDefault="007A35EF" w:rsidP="007A35EF">
      <w:pPr>
        <w:pStyle w:val="ListParagraph"/>
        <w:rPr>
          <w:rFonts w:cstheme="minorHAnsi"/>
        </w:rPr>
      </w:pPr>
    </w:p>
    <w:p w14:paraId="7598DFD9" w14:textId="77777777" w:rsidR="007A35EF" w:rsidRPr="00BC07E6" w:rsidRDefault="007A35EF" w:rsidP="007A35EF">
      <w:pPr>
        <w:pStyle w:val="ListParagraph"/>
        <w:numPr>
          <w:ilvl w:val="0"/>
          <w:numId w:val="9"/>
        </w:numPr>
        <w:spacing w:after="200" w:line="276" w:lineRule="auto"/>
        <w:jc w:val="both"/>
        <w:rPr>
          <w:rFonts w:cstheme="minorHAnsi"/>
        </w:rPr>
      </w:pPr>
      <w:r w:rsidRPr="00314FD1">
        <w:rPr>
          <w:rFonts w:cstheme="minorHAnsi"/>
        </w:rPr>
        <w:t>the desirability of new development making a positive contribution to local character and distinctiveness.</w:t>
      </w:r>
    </w:p>
    <w:p w14:paraId="04D08232" w14:textId="77777777" w:rsidR="007A35EF" w:rsidRPr="00314FD1" w:rsidRDefault="007A35EF" w:rsidP="007A35EF">
      <w:pPr>
        <w:jc w:val="both"/>
        <w:rPr>
          <w:rFonts w:cstheme="minorHAnsi"/>
        </w:rPr>
      </w:pPr>
      <w:r w:rsidRPr="00314FD1">
        <w:rPr>
          <w:rFonts w:cstheme="minorHAnsi"/>
        </w:rPr>
        <w:t xml:space="preserve">199.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4E1F5D1A" w14:textId="77777777" w:rsidR="007A35EF" w:rsidRPr="00314FD1" w:rsidRDefault="007A35EF" w:rsidP="007A35EF">
      <w:pPr>
        <w:jc w:val="both"/>
        <w:rPr>
          <w:rFonts w:cstheme="minorHAnsi"/>
        </w:rPr>
      </w:pPr>
      <w:r w:rsidRPr="00314FD1">
        <w:rPr>
          <w:rFonts w:cstheme="minorHAnsi"/>
        </w:rPr>
        <w:t xml:space="preserve">200. Any harm to, or loss of, the significance of a designated heritage asset (from its alteration or destruction, or from development within its setting), should require clear and convincing justification. Substantial harm to or loss of: </w:t>
      </w:r>
    </w:p>
    <w:p w14:paraId="24439D57" w14:textId="77777777" w:rsidR="007A35EF" w:rsidRPr="00314FD1" w:rsidRDefault="007A35EF" w:rsidP="007A35EF">
      <w:pPr>
        <w:jc w:val="both"/>
        <w:rPr>
          <w:rFonts w:cstheme="minorHAnsi"/>
        </w:rPr>
      </w:pPr>
      <w:r w:rsidRPr="00314FD1">
        <w:rPr>
          <w:rFonts w:cstheme="minorHAnsi"/>
        </w:rPr>
        <w:t xml:space="preserve">a) grade II listed buildings, or grade II registered parks or gardens, should be exceptional; </w:t>
      </w:r>
    </w:p>
    <w:p w14:paraId="50F7E5DA" w14:textId="77777777" w:rsidR="007A35EF" w:rsidRPr="00314FD1" w:rsidRDefault="007A35EF" w:rsidP="007A35EF">
      <w:pPr>
        <w:jc w:val="both"/>
        <w:rPr>
          <w:rFonts w:cstheme="minorHAnsi"/>
        </w:rPr>
      </w:pPr>
      <w:r w:rsidRPr="00314FD1">
        <w:rPr>
          <w:rFonts w:cstheme="minorHAnsi"/>
        </w:rPr>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5139AE7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201.</w:t>
      </w:r>
      <w:r w:rsidRPr="006D5E0B">
        <w:rPr>
          <w:rFonts w:asciiTheme="minorHAnsi" w:hAnsiTheme="minorHAnsi" w:cstheme="minorHAnsi"/>
          <w:color w:val="0B0C0C"/>
          <w:sz w:val="22"/>
          <w:szCs w:val="22"/>
        </w:rPr>
        <w:t> Where a proposed development will lead to substantial harm to (or total loss of significance of) a designated heritage asset, local planning authorities should refuse consent, unless it can be demonstrated that the substantial harm or total loss is necessary to achieve substantial public benefits that outweigh that harm or loss, or all of the following apply:</w:t>
      </w:r>
    </w:p>
    <w:p w14:paraId="2CE6F601"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(a) the nature of the heritage asset prevents all reasonable uses of the site; and</w:t>
      </w:r>
    </w:p>
    <w:p w14:paraId="337857F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(b) no viable use of the heritage asset itself can be found in the medium term through appropriate marketing that will enable its conservation; and</w:t>
      </w:r>
    </w:p>
    <w:p w14:paraId="2AD42D4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(c) conservation by grant-funding or some form of not for profit, charitable or public ownership is demonstrably not possible; and</w:t>
      </w:r>
    </w:p>
    <w:p w14:paraId="28DA92C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(d) the harm or loss is outweighed by the benefit of bringing the site back into use.</w:t>
      </w:r>
    </w:p>
    <w:p w14:paraId="643DB1C9" w14:textId="77777777" w:rsidR="007A35EF"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202.</w:t>
      </w:r>
      <w:r w:rsidRPr="006D5E0B">
        <w:rPr>
          <w:rFonts w:asciiTheme="minorHAnsi" w:hAnsiTheme="minorHAnsi" w:cstheme="minorHAnsi"/>
          <w:color w:val="0B0C0C"/>
          <w:sz w:val="22"/>
          <w:szCs w:val="22"/>
        </w:rPr>
        <w:t> Where a development proposal will lead to less than substantial harm to the significance of a designated heritage asset, this harm should be weighed against the public benefits of the proposal including, where appropriate, securing its optimum viable use.</w:t>
      </w:r>
    </w:p>
    <w:p w14:paraId="2DDA4F8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b/>
          <w:bCs/>
          <w:color w:val="0B0C0C"/>
          <w:sz w:val="22"/>
          <w:szCs w:val="22"/>
        </w:rPr>
      </w:pPr>
      <w:r w:rsidRPr="006D5E0B">
        <w:rPr>
          <w:rFonts w:asciiTheme="minorHAnsi" w:hAnsiTheme="minorHAnsi" w:cstheme="minorHAnsi"/>
          <w:b/>
          <w:bCs/>
          <w:color w:val="0B0C0C"/>
          <w:sz w:val="22"/>
          <w:szCs w:val="22"/>
        </w:rPr>
        <w:t>Local Plan</w:t>
      </w:r>
    </w:p>
    <w:p w14:paraId="2B29A9EA" w14:textId="77777777" w:rsidR="007A35EF" w:rsidRPr="00673AA1" w:rsidRDefault="007A35EF" w:rsidP="007A35EF">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77777777" w:rsidR="007A35EF" w:rsidRPr="00673AA1" w:rsidRDefault="007A35EF" w:rsidP="007A35EF">
      <w:pPr>
        <w:jc w:val="both"/>
      </w:pPr>
      <w:r w:rsidRPr="00673AA1">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022F61FD" w14:textId="77777777" w:rsidR="007A35EF" w:rsidRPr="00673AA1" w:rsidRDefault="007A35EF" w:rsidP="007A35EF">
      <w:pPr>
        <w:jc w:val="both"/>
      </w:pPr>
      <w:r w:rsidRPr="00673AA1">
        <w:t>Policy CP16 (1a) of the Core Strategy states ‘Planning permission will be granted for development that is designed to a high standard, which helps to create places where people want to live, work and relax. All development should demonstrate that its design:</w:t>
      </w:r>
    </w:p>
    <w:p w14:paraId="6ECEC87A" w14:textId="77777777" w:rsidR="007A35EF" w:rsidRPr="00673AA1" w:rsidRDefault="007A35EF" w:rsidP="007A35EF">
      <w:pPr>
        <w:jc w:val="both"/>
      </w:pPr>
      <w:r w:rsidRPr="00673AA1">
        <w:t>Identifies and responds positively to existing features of natural, historic or local character within or close to the proposed development site’.</w:t>
      </w:r>
    </w:p>
    <w:p w14:paraId="0DEDD88D" w14:textId="525D3415" w:rsidR="007A35EF" w:rsidRPr="00673AA1" w:rsidRDefault="007A35EF" w:rsidP="007A35EF">
      <w:pPr>
        <w:jc w:val="both"/>
      </w:pPr>
      <w:r w:rsidRPr="00673AA1">
        <w:t>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w:t>
      </w:r>
      <w:r w:rsidR="008A2128">
        <w:t xml:space="preserve">. </w:t>
      </w:r>
    </w:p>
    <w:p w14:paraId="1FA1BA0A" w14:textId="77777777" w:rsidR="00F86F4B" w:rsidRDefault="00F86F4B" w:rsidP="00F86F4B">
      <w:pPr>
        <w:pStyle w:val="Default"/>
        <w:jc w:val="both"/>
        <w:rPr>
          <w:rFonts w:asciiTheme="minorHAnsi" w:hAnsiTheme="minorHAnsi" w:cstheme="minorHAnsi"/>
          <w:sz w:val="22"/>
          <w:szCs w:val="22"/>
        </w:rPr>
      </w:pPr>
    </w:p>
    <w:p w14:paraId="1A6ACD81" w14:textId="77777777" w:rsidR="00F86F4B" w:rsidRPr="006A7AB9"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0E5A865D" w14:textId="4BB4A2B5" w:rsidR="00F86F4B" w:rsidRDefault="00F86F4B" w:rsidP="00F86F4B">
      <w:pPr>
        <w:pStyle w:val="Default"/>
        <w:jc w:val="both"/>
        <w:rPr>
          <w:rFonts w:asciiTheme="minorHAnsi" w:hAnsiTheme="minorHAnsi" w:cstheme="minorHAnsi"/>
          <w:sz w:val="22"/>
          <w:szCs w:val="22"/>
        </w:rPr>
      </w:pPr>
    </w:p>
    <w:p w14:paraId="43092790" w14:textId="6B443306" w:rsidR="00D96C21" w:rsidRDefault="006005D9" w:rsidP="008A21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The </w:t>
      </w:r>
      <w:r w:rsidR="008A2128">
        <w:rPr>
          <w:rFonts w:cstheme="minorHAnsi"/>
        </w:rPr>
        <w:t xml:space="preserve">proposal includes the addition of dormer windows to the existing roof slopes of the bungalow and a general updating of the property including a render painted finish to the external façade and new contemporary windows. Overall, this will enhance its visual contribution to the streetscene. Given the small scale of the proposed changes, the impact on the adjacent heritage asset, including its setting, would be negligible. </w:t>
      </w:r>
    </w:p>
    <w:p w14:paraId="4E9CC331" w14:textId="6EF90E8E" w:rsidR="00D626C3" w:rsidRDefault="00D626C3" w:rsidP="00622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582BA144" w14:textId="5D0E3878" w:rsidR="00D626C3" w:rsidRDefault="00D626C3" w:rsidP="00D626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In summary, it is considered that the proposal would not be harmful to the significance of the heritage asset and would </w:t>
      </w:r>
      <w:r w:rsidR="008A2128">
        <w:rPr>
          <w:rFonts w:cstheme="minorHAnsi"/>
        </w:rPr>
        <w:t xml:space="preserve">therefore meet the </w:t>
      </w:r>
      <w:r>
        <w:rPr>
          <w:rFonts w:cstheme="minorHAnsi"/>
        </w:rPr>
        <w:t>test set out in Section</w:t>
      </w:r>
      <w:r w:rsidR="007E7CFF">
        <w:rPr>
          <w:rFonts w:cstheme="minorHAnsi"/>
        </w:rPr>
        <w:t xml:space="preserve"> </w:t>
      </w:r>
      <w:r w:rsidR="008A2128">
        <w:rPr>
          <w:rFonts w:cstheme="minorHAnsi"/>
        </w:rPr>
        <w:t>66</w:t>
      </w:r>
      <w:r>
        <w:rPr>
          <w:rFonts w:cstheme="minorHAnsi"/>
        </w:rPr>
        <w:t xml:space="preserve"> of the T&amp;CPA 1990 (Listed Buildings and Conservation Areas)</w:t>
      </w:r>
      <w:r w:rsidR="008A2128">
        <w:rPr>
          <w:rFonts w:cstheme="minorHAnsi"/>
        </w:rPr>
        <w:t xml:space="preserve"> and the relevant national and local planning policies. </w:t>
      </w:r>
    </w:p>
    <w:p w14:paraId="214E6955" w14:textId="77777777" w:rsidR="00D626C3" w:rsidRDefault="00D626C3" w:rsidP="00F86F4B">
      <w:pPr>
        <w:pStyle w:val="Default"/>
        <w:jc w:val="both"/>
        <w:rPr>
          <w:rFonts w:asciiTheme="minorHAnsi" w:hAnsiTheme="minorHAnsi" w:cstheme="minorHAnsi"/>
          <w:b/>
          <w:sz w:val="22"/>
          <w:szCs w:val="22"/>
          <w:u w:val="single"/>
        </w:rPr>
      </w:pPr>
    </w:p>
    <w:p w14:paraId="07CB7E47" w14:textId="64B6F319" w:rsidR="00E10CD5" w:rsidRDefault="0091676B" w:rsidP="004D3EE2">
      <w:pPr>
        <w:pStyle w:val="Default"/>
        <w:jc w:val="both"/>
        <w:rPr>
          <w:rFonts w:cstheme="minorHAnsi"/>
          <w:sz w:val="22"/>
          <w:szCs w:val="22"/>
        </w:rPr>
      </w:pPr>
      <w:r w:rsidRPr="00D626C3">
        <w:rPr>
          <w:rFonts w:cstheme="minorHAnsi"/>
          <w:b/>
          <w:bCs/>
          <w:sz w:val="22"/>
          <w:szCs w:val="22"/>
        </w:rPr>
        <w:t xml:space="preserve">NO </w:t>
      </w:r>
      <w:r w:rsidR="00F86F4B" w:rsidRPr="00D626C3">
        <w:rPr>
          <w:rFonts w:cstheme="minorHAnsi"/>
          <w:b/>
          <w:bCs/>
          <w:sz w:val="22"/>
          <w:szCs w:val="22"/>
        </w:rPr>
        <w:t xml:space="preserve">OBJECTION </w:t>
      </w: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1410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5"/>
  </w:num>
  <w:num w:numId="4" w16cid:durableId="1163668817">
    <w:abstractNumId w:val="4"/>
  </w:num>
  <w:num w:numId="5" w16cid:durableId="535698626">
    <w:abstractNumId w:val="3"/>
  </w:num>
  <w:num w:numId="6" w16cid:durableId="74518573">
    <w:abstractNumId w:val="7"/>
  </w:num>
  <w:num w:numId="7" w16cid:durableId="374933229">
    <w:abstractNumId w:val="8"/>
  </w:num>
  <w:num w:numId="8" w16cid:durableId="907615647">
    <w:abstractNumId w:val="6"/>
  </w:num>
  <w:num w:numId="9" w16cid:durableId="1637681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C2245"/>
    <w:rsid w:val="000C2B35"/>
    <w:rsid w:val="000D155D"/>
    <w:rsid w:val="000D3DD4"/>
    <w:rsid w:val="000D6036"/>
    <w:rsid w:val="00123301"/>
    <w:rsid w:val="00187FF9"/>
    <w:rsid w:val="001C3AF7"/>
    <w:rsid w:val="002121C1"/>
    <w:rsid w:val="00272D95"/>
    <w:rsid w:val="00280006"/>
    <w:rsid w:val="002A79BA"/>
    <w:rsid w:val="002B284B"/>
    <w:rsid w:val="002B3D0D"/>
    <w:rsid w:val="002D0D6B"/>
    <w:rsid w:val="00332A3A"/>
    <w:rsid w:val="00346F83"/>
    <w:rsid w:val="00361FE7"/>
    <w:rsid w:val="00376316"/>
    <w:rsid w:val="003F10F2"/>
    <w:rsid w:val="003F25F0"/>
    <w:rsid w:val="003F414D"/>
    <w:rsid w:val="003F76FA"/>
    <w:rsid w:val="00410C73"/>
    <w:rsid w:val="00412C64"/>
    <w:rsid w:val="00440348"/>
    <w:rsid w:val="004542E1"/>
    <w:rsid w:val="004659F2"/>
    <w:rsid w:val="004A129E"/>
    <w:rsid w:val="004D3EE2"/>
    <w:rsid w:val="004F6F64"/>
    <w:rsid w:val="00512EFE"/>
    <w:rsid w:val="0053206B"/>
    <w:rsid w:val="0058224A"/>
    <w:rsid w:val="00584600"/>
    <w:rsid w:val="005C1632"/>
    <w:rsid w:val="006005D9"/>
    <w:rsid w:val="00622171"/>
    <w:rsid w:val="00624647"/>
    <w:rsid w:val="00662692"/>
    <w:rsid w:val="00673AA1"/>
    <w:rsid w:val="006855AA"/>
    <w:rsid w:val="0069659F"/>
    <w:rsid w:val="006A54BC"/>
    <w:rsid w:val="006A7AB9"/>
    <w:rsid w:val="006B5B64"/>
    <w:rsid w:val="006F2359"/>
    <w:rsid w:val="00781A72"/>
    <w:rsid w:val="0079447F"/>
    <w:rsid w:val="0079518A"/>
    <w:rsid w:val="007A35EF"/>
    <w:rsid w:val="007E1687"/>
    <w:rsid w:val="007E7CFF"/>
    <w:rsid w:val="00802435"/>
    <w:rsid w:val="00852456"/>
    <w:rsid w:val="00862FC1"/>
    <w:rsid w:val="008726D6"/>
    <w:rsid w:val="008A2128"/>
    <w:rsid w:val="008B0A38"/>
    <w:rsid w:val="00901AF2"/>
    <w:rsid w:val="0091676B"/>
    <w:rsid w:val="00930C2D"/>
    <w:rsid w:val="009327D6"/>
    <w:rsid w:val="009428FD"/>
    <w:rsid w:val="009736E8"/>
    <w:rsid w:val="00980463"/>
    <w:rsid w:val="00984F41"/>
    <w:rsid w:val="009B56E1"/>
    <w:rsid w:val="009D3585"/>
    <w:rsid w:val="009E2F11"/>
    <w:rsid w:val="009F782C"/>
    <w:rsid w:val="00A07E34"/>
    <w:rsid w:val="00A20CAF"/>
    <w:rsid w:val="00A27442"/>
    <w:rsid w:val="00A54386"/>
    <w:rsid w:val="00A63170"/>
    <w:rsid w:val="00A71E05"/>
    <w:rsid w:val="00AB323F"/>
    <w:rsid w:val="00AC2B2D"/>
    <w:rsid w:val="00AD5038"/>
    <w:rsid w:val="00AF354D"/>
    <w:rsid w:val="00B32D3E"/>
    <w:rsid w:val="00B42C4C"/>
    <w:rsid w:val="00B55D75"/>
    <w:rsid w:val="00B82954"/>
    <w:rsid w:val="00BE1379"/>
    <w:rsid w:val="00BE1F2E"/>
    <w:rsid w:val="00BE360F"/>
    <w:rsid w:val="00BE59F6"/>
    <w:rsid w:val="00BF67AB"/>
    <w:rsid w:val="00C02690"/>
    <w:rsid w:val="00C05141"/>
    <w:rsid w:val="00C10324"/>
    <w:rsid w:val="00C11393"/>
    <w:rsid w:val="00CA11A3"/>
    <w:rsid w:val="00CC7B4C"/>
    <w:rsid w:val="00CD4C97"/>
    <w:rsid w:val="00CE4CC6"/>
    <w:rsid w:val="00D10755"/>
    <w:rsid w:val="00D36325"/>
    <w:rsid w:val="00D4474D"/>
    <w:rsid w:val="00D626C3"/>
    <w:rsid w:val="00D96C21"/>
    <w:rsid w:val="00DA04BE"/>
    <w:rsid w:val="00DA19B4"/>
    <w:rsid w:val="00DD38FB"/>
    <w:rsid w:val="00E10CD5"/>
    <w:rsid w:val="00E236AF"/>
    <w:rsid w:val="00E307EA"/>
    <w:rsid w:val="00E31470"/>
    <w:rsid w:val="00E31B3A"/>
    <w:rsid w:val="00E436C1"/>
    <w:rsid w:val="00E604DA"/>
    <w:rsid w:val="00EA43A9"/>
    <w:rsid w:val="00EF0C74"/>
    <w:rsid w:val="00F14AFD"/>
    <w:rsid w:val="00F45927"/>
    <w:rsid w:val="00F55D8A"/>
    <w:rsid w:val="00F84D3D"/>
    <w:rsid w:val="00F86F4B"/>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1255</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3</cp:revision>
  <dcterms:created xsi:type="dcterms:W3CDTF">2023-07-04T08:53:00Z</dcterms:created>
  <dcterms:modified xsi:type="dcterms:W3CDTF">2023-07-04T09:16:00Z</dcterms:modified>
</cp:coreProperties>
</file>