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35617CAB" w:rsidR="00F91FE6" w:rsidRPr="009327D6" w:rsidRDefault="00F91FE6" w:rsidP="00852456">
      <w:pPr>
        <w:jc w:val="both"/>
        <w:rPr>
          <w:rFonts w:cstheme="minorHAnsi"/>
          <w:b/>
          <w:u w:val="single"/>
        </w:rPr>
      </w:pPr>
      <w:r w:rsidRPr="009327D6">
        <w:rPr>
          <w:rFonts w:cstheme="minorHAnsi"/>
          <w:b/>
          <w:u w:val="single"/>
        </w:rPr>
        <w:t xml:space="preserve">Date – </w:t>
      </w:r>
      <w:r w:rsidR="00DA36C4">
        <w:rPr>
          <w:rFonts w:cstheme="minorHAnsi"/>
          <w:b/>
          <w:u w:val="single"/>
        </w:rPr>
        <w:t>9/5</w:t>
      </w:r>
      <w:r w:rsidR="00187FF9">
        <w:rPr>
          <w:rFonts w:cstheme="minorHAnsi"/>
          <w:b/>
          <w:u w:val="single"/>
        </w:rPr>
        <w:t>/2023</w:t>
      </w:r>
    </w:p>
    <w:p w14:paraId="53855C3A" w14:textId="490E7325" w:rsidR="00852456" w:rsidRDefault="00F86F4B" w:rsidP="00852456">
      <w:pPr>
        <w:jc w:val="both"/>
        <w:rPr>
          <w:rFonts w:cstheme="minorHAnsi"/>
          <w:b/>
          <w:u w:val="single"/>
        </w:rPr>
      </w:pPr>
      <w:r>
        <w:rPr>
          <w:rFonts w:cstheme="minorHAnsi"/>
          <w:b/>
          <w:u w:val="single"/>
        </w:rPr>
        <w:t>APP/23/</w:t>
      </w:r>
      <w:r w:rsidR="00123301">
        <w:rPr>
          <w:rFonts w:cstheme="minorHAnsi"/>
          <w:b/>
          <w:u w:val="single"/>
        </w:rPr>
        <w:t>00171 – 23 South Street</w:t>
      </w:r>
      <w:r w:rsidR="00DA19B4">
        <w:rPr>
          <w:rFonts w:cstheme="minorHAnsi"/>
          <w:b/>
          <w:u w:val="single"/>
        </w:rPr>
        <w:t xml:space="preserve">, Emsworth </w:t>
      </w:r>
      <w:r w:rsidR="00852456" w:rsidRPr="009327D6">
        <w:rPr>
          <w:rFonts w:cstheme="minorHAnsi"/>
          <w:b/>
          <w:u w:val="single"/>
        </w:rPr>
        <w:t xml:space="preserve"> </w:t>
      </w:r>
    </w:p>
    <w:p w14:paraId="074D5120" w14:textId="0C8CC6D2" w:rsidR="00F86F4B" w:rsidRDefault="00F86F4B" w:rsidP="00F86F4B">
      <w:pPr>
        <w:jc w:val="both"/>
        <w:rPr>
          <w:rFonts w:cstheme="minorHAnsi"/>
          <w:b/>
          <w:u w:val="single"/>
        </w:rPr>
      </w:pPr>
      <w:r w:rsidRPr="009327D6">
        <w:rPr>
          <w:rFonts w:cstheme="minorHAnsi"/>
          <w:b/>
          <w:u w:val="single"/>
        </w:rPr>
        <w:t>Background</w:t>
      </w:r>
    </w:p>
    <w:p w14:paraId="4B990461" w14:textId="189E91F1" w:rsidR="009F782C" w:rsidRDefault="009F782C" w:rsidP="009F782C">
      <w:pPr>
        <w:jc w:val="both"/>
      </w:pPr>
      <w:r>
        <w:t xml:space="preserve">The application site is a </w:t>
      </w:r>
      <w:r w:rsidR="00123301">
        <w:t xml:space="preserve">two-storey, residential property dating back to 1949 (as per plaque on exterior). It is constructed of poor-quality materials which was reflective of post war housing at the time. The front is part render, part facing brick with Flettons used on the remaining elevations. The roof tiles appear to be clay and there is a squat chimney which makes little contribution to the conservation area. The fenestration is timber but of low quality. A modern garage door has been inserted / replacing earlier doors. This building makes a neutral contribution to the conservation area. </w:t>
      </w:r>
      <w:r w:rsidR="00D36325">
        <w:t xml:space="preserve">The site is situated in between a restaurant </w:t>
      </w:r>
      <w:r w:rsidR="002121C1">
        <w:t xml:space="preserve">(Grade II Listed) </w:t>
      </w:r>
      <w:r w:rsidR="00D36325">
        <w:t>and pub</w:t>
      </w:r>
      <w:r w:rsidR="002121C1">
        <w:t xml:space="preserve"> (Locally Listed)</w:t>
      </w:r>
      <w:r w:rsidR="00D36325">
        <w:t xml:space="preserve">, with the South </w:t>
      </w:r>
      <w:proofErr w:type="gramStart"/>
      <w:r w:rsidR="00D36325">
        <w:t>Street car</w:t>
      </w:r>
      <w:proofErr w:type="gramEnd"/>
      <w:r w:rsidR="00D36325">
        <w:t xml:space="preserve"> park located to the rear. There is a rear garden, part of which is being used for the adjacent restaurant. </w:t>
      </w:r>
    </w:p>
    <w:p w14:paraId="09E9DCD0" w14:textId="77777777" w:rsidR="00F86F4B" w:rsidRPr="0079518A" w:rsidRDefault="00F86F4B" w:rsidP="00F86F4B">
      <w:pPr>
        <w:jc w:val="both"/>
        <w:rPr>
          <w:rFonts w:cstheme="minorHAnsi"/>
          <w:b/>
          <w:bCs/>
          <w:u w:val="single"/>
        </w:rPr>
      </w:pPr>
      <w:r w:rsidRPr="009327D6">
        <w:rPr>
          <w:rFonts w:cstheme="minorHAnsi"/>
          <w:b/>
          <w:bCs/>
          <w:u w:val="single"/>
        </w:rPr>
        <w:t>Proposal</w:t>
      </w:r>
    </w:p>
    <w:p w14:paraId="5B58DD00" w14:textId="77777777" w:rsidR="00D36325" w:rsidRPr="00D36325" w:rsidRDefault="00D36325" w:rsidP="00D36325">
      <w:pPr>
        <w:autoSpaceDE w:val="0"/>
        <w:autoSpaceDN w:val="0"/>
        <w:adjustRightInd w:val="0"/>
        <w:spacing w:after="0" w:line="240" w:lineRule="auto"/>
        <w:rPr>
          <w:rFonts w:cstheme="minorHAnsi"/>
        </w:rPr>
      </w:pPr>
      <w:r w:rsidRPr="00D36325">
        <w:rPr>
          <w:rFonts w:cstheme="minorHAnsi"/>
        </w:rPr>
        <w:t>Ground floor rear extension, first floor rear extension, loft/second floor extension with installation of dormer windows and increase the roof height.</w:t>
      </w:r>
    </w:p>
    <w:p w14:paraId="1ABE498A" w14:textId="1117F7C5" w:rsidR="00D36325" w:rsidRDefault="00D36325"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 xml:space="preserve">Section 16 of the Planning (Listed Buildings and Conservation Areas) Act 1990 ("1990 Act") requires local planning authorities to have special regard to the desirability of preserving a listed building, its </w:t>
      </w:r>
      <w:proofErr w:type="gramStart"/>
      <w:r w:rsidRPr="00745AC2">
        <w:rPr>
          <w:rFonts w:cstheme="minorHAnsi"/>
        </w:rPr>
        <w:t>setting</w:t>
      </w:r>
      <w:proofErr w:type="gramEnd"/>
      <w:r w:rsidRPr="00745AC2">
        <w:rPr>
          <w:rFonts w:cstheme="minorHAnsi"/>
        </w:rPr>
        <w:t xml:space="preserve"> or any features of special architectural or historic interest when considering whether to grant listed building consent.</w:t>
      </w:r>
    </w:p>
    <w:p w14:paraId="32493E45" w14:textId="77777777" w:rsidR="007A35EF" w:rsidRPr="00745AC2"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3EE69B42" w14:textId="77777777" w:rsidR="007A35EF" w:rsidRDefault="007A35EF" w:rsidP="007A35EF">
      <w:pPr>
        <w:autoSpaceDE w:val="0"/>
        <w:autoSpaceDN w:val="0"/>
        <w:adjustRightInd w:val="0"/>
        <w:jc w:val="both"/>
        <w:rPr>
          <w:rFonts w:cstheme="minorHAnsi"/>
        </w:rPr>
      </w:pPr>
      <w:r w:rsidRPr="00745AC2">
        <w:rPr>
          <w:rFonts w:cstheme="minorHAnsi"/>
        </w:rPr>
        <w:t>The need for the decision taker to attach considerable or special weight to the desirability of preserving the setting of listed buildings has been reinforced through two recent high court decisions of: Barnwell Manor Wind Energy Limited vs. East Northamptonshire District Council et al (2014); and North Norfolk District Council vs. DCLG and Mack (2014). The above statute and its subsequent and consistent interpretation in recent high court decision emphasises the need for the policies of the NPPF to be implemented whilst always having regard to the need to give special or greater weight to the preservation of the setting of a listed building.</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199CCF61" w14:textId="77777777" w:rsidR="007A35EF" w:rsidRPr="00314FD1" w:rsidRDefault="007A35EF" w:rsidP="007A35EF">
      <w:pPr>
        <w:jc w:val="both"/>
        <w:rPr>
          <w:rFonts w:cstheme="minorHAnsi"/>
        </w:rPr>
      </w:pPr>
      <w:r w:rsidRPr="00314FD1">
        <w:rPr>
          <w:rFonts w:cstheme="minorHAnsi"/>
        </w:rPr>
        <w:t>The revised NPPF (July 2021) sets out in Chapter 16, the core principles relating to development affecting Heritage Assets that local planning authorities should consider in making planning decisions in the following paragraphs:</w:t>
      </w:r>
    </w:p>
    <w:p w14:paraId="2FCC7350" w14:textId="77777777" w:rsidR="007A35EF" w:rsidRPr="00314FD1" w:rsidRDefault="007A35EF" w:rsidP="007A35EF">
      <w:pPr>
        <w:jc w:val="both"/>
        <w:rPr>
          <w:rFonts w:cstheme="minorHAnsi"/>
        </w:rPr>
      </w:pPr>
      <w:r w:rsidRPr="00314FD1">
        <w:rPr>
          <w:rFonts w:cstheme="minorHAnsi"/>
        </w:rPr>
        <w:t xml:space="preserve">189. Heritage assets range from sites and buildings of local historic value to those of the highest significance, such as World Heritage Sites which are internationally recognised to be of Outstanding Universal Value. These assets are an irreplaceable </w:t>
      </w:r>
      <w:proofErr w:type="gramStart"/>
      <w:r w:rsidRPr="00314FD1">
        <w:rPr>
          <w:rFonts w:cstheme="minorHAnsi"/>
        </w:rPr>
        <w:t>resource, and</w:t>
      </w:r>
      <w:proofErr w:type="gramEnd"/>
      <w:r w:rsidRPr="00314FD1">
        <w:rPr>
          <w:rFonts w:cstheme="minorHAnsi"/>
        </w:rPr>
        <w:t xml:space="preserve"> should be conserved in a manner </w:t>
      </w:r>
      <w:r w:rsidRPr="00314FD1">
        <w:rPr>
          <w:rFonts w:cstheme="minorHAnsi"/>
        </w:rPr>
        <w:lastRenderedPageBreak/>
        <w:t>appropriate to their significance, so that they can be enjoyed for their contribution to the quality of life of existing and future generations.</w:t>
      </w:r>
    </w:p>
    <w:p w14:paraId="51708AF2" w14:textId="77777777" w:rsidR="007A35EF" w:rsidRPr="00314FD1" w:rsidRDefault="007A35EF" w:rsidP="007A35EF">
      <w:pPr>
        <w:jc w:val="both"/>
        <w:rPr>
          <w:rFonts w:cstheme="minorHAnsi"/>
        </w:rPr>
      </w:pPr>
      <w:r w:rsidRPr="00314FD1">
        <w:rPr>
          <w:rFonts w:cstheme="minorHAnsi"/>
        </w:rPr>
        <w:t xml:space="preserve">194.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14:paraId="658F394F" w14:textId="77777777" w:rsidR="007A35EF" w:rsidRPr="00314FD1" w:rsidRDefault="007A35EF" w:rsidP="007A35EF">
      <w:pPr>
        <w:jc w:val="both"/>
        <w:rPr>
          <w:rFonts w:cstheme="minorHAnsi"/>
        </w:rPr>
      </w:pPr>
      <w:r w:rsidRPr="00314FD1">
        <w:rPr>
          <w:rFonts w:cstheme="minorHAnsi"/>
        </w:rPr>
        <w:t xml:space="preserve">195. Local planning authorities should identify and assess the particular significance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14:paraId="42966BE8" w14:textId="77777777" w:rsidR="007A35EF" w:rsidRPr="00314FD1" w:rsidRDefault="007A35EF" w:rsidP="007A35EF">
      <w:pPr>
        <w:jc w:val="both"/>
        <w:rPr>
          <w:rFonts w:cstheme="minorHAnsi"/>
        </w:rPr>
      </w:pPr>
      <w:r w:rsidRPr="00314FD1">
        <w:rPr>
          <w:rFonts w:cstheme="minorHAnsi"/>
        </w:rPr>
        <w:t xml:space="preserve">196. Where there is evidence of deliberate neglect of, or damage to, a heritage asset, the deteriorated state of the heritage asset should not be </w:t>
      </w:r>
      <w:proofErr w:type="gramStart"/>
      <w:r w:rsidRPr="00314FD1">
        <w:rPr>
          <w:rFonts w:cstheme="minorHAnsi"/>
        </w:rPr>
        <w:t>taken into account</w:t>
      </w:r>
      <w:proofErr w:type="gramEnd"/>
      <w:r w:rsidRPr="00314FD1">
        <w:rPr>
          <w:rFonts w:cstheme="minorHAnsi"/>
        </w:rPr>
        <w:t xml:space="preserve"> in any decision.</w:t>
      </w:r>
    </w:p>
    <w:p w14:paraId="1FB685D0" w14:textId="77777777" w:rsidR="007A35EF" w:rsidRPr="00314FD1" w:rsidRDefault="007A35EF" w:rsidP="007A35EF">
      <w:pPr>
        <w:jc w:val="both"/>
        <w:rPr>
          <w:rFonts w:cstheme="minorHAnsi"/>
        </w:rPr>
      </w:pPr>
      <w:r w:rsidRPr="00314FD1">
        <w:rPr>
          <w:rFonts w:cstheme="minorHAnsi"/>
        </w:rPr>
        <w:t xml:space="preserve">197. In determining applications, local planning authorities should take account of: </w:t>
      </w:r>
    </w:p>
    <w:p w14:paraId="383850EF"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desirability of sustaining and enhancing the significance of heritage assets and putting them to viable uses consistent with their </w:t>
      </w:r>
      <w:proofErr w:type="gramStart"/>
      <w:r w:rsidRPr="00314FD1">
        <w:rPr>
          <w:rFonts w:cstheme="minorHAnsi"/>
        </w:rPr>
        <w:t>conservation;</w:t>
      </w:r>
      <w:proofErr w:type="gramEnd"/>
      <w:r w:rsidRPr="00314FD1">
        <w:rPr>
          <w:rFonts w:cstheme="minorHAnsi"/>
        </w:rPr>
        <w:t xml:space="preserve"> </w:t>
      </w:r>
    </w:p>
    <w:p w14:paraId="6385A887" w14:textId="77777777" w:rsidR="007A35EF" w:rsidRPr="00314FD1" w:rsidRDefault="007A35EF" w:rsidP="007A35EF">
      <w:pPr>
        <w:pStyle w:val="ListParagraph"/>
        <w:jc w:val="both"/>
        <w:rPr>
          <w:rFonts w:cstheme="minorHAnsi"/>
        </w:rPr>
      </w:pPr>
    </w:p>
    <w:p w14:paraId="199F3CBB" w14:textId="77777777" w:rsidR="007A35EF" w:rsidRPr="00314FD1" w:rsidRDefault="007A35EF" w:rsidP="007A35EF">
      <w:pPr>
        <w:pStyle w:val="ListParagraph"/>
        <w:numPr>
          <w:ilvl w:val="0"/>
          <w:numId w:val="9"/>
        </w:numPr>
        <w:spacing w:after="200" w:line="276" w:lineRule="auto"/>
        <w:jc w:val="both"/>
        <w:rPr>
          <w:rFonts w:cstheme="minorHAnsi"/>
        </w:rPr>
      </w:pPr>
      <w:r w:rsidRPr="00314FD1">
        <w:rPr>
          <w:rFonts w:cstheme="minorHAnsi"/>
        </w:rPr>
        <w:t xml:space="preserve">the positive contribution that conservation of heritage assets can make to sustainable communities including their economic vitality; and </w:t>
      </w:r>
    </w:p>
    <w:p w14:paraId="0CE984D0" w14:textId="77777777" w:rsidR="007A35EF" w:rsidRPr="00314FD1" w:rsidRDefault="007A35EF" w:rsidP="007A35EF">
      <w:pPr>
        <w:pStyle w:val="ListParagraph"/>
        <w:rPr>
          <w:rFonts w:cstheme="minorHAnsi"/>
        </w:rPr>
      </w:pPr>
    </w:p>
    <w:p w14:paraId="7598DFD9" w14:textId="77777777" w:rsidR="007A35EF" w:rsidRPr="00BC07E6" w:rsidRDefault="007A35EF" w:rsidP="007A35EF">
      <w:pPr>
        <w:pStyle w:val="ListParagraph"/>
        <w:numPr>
          <w:ilvl w:val="0"/>
          <w:numId w:val="9"/>
        </w:numPr>
        <w:spacing w:after="200" w:line="276" w:lineRule="auto"/>
        <w:jc w:val="both"/>
        <w:rPr>
          <w:rFonts w:cstheme="minorHAnsi"/>
        </w:rPr>
      </w:pPr>
      <w:r w:rsidRPr="00314FD1">
        <w:rPr>
          <w:rFonts w:cstheme="minorHAnsi"/>
        </w:rPr>
        <w:t>the desirability of new development making a positive contribution to local character and distinctiveness.</w:t>
      </w:r>
    </w:p>
    <w:p w14:paraId="04D08232" w14:textId="77777777" w:rsidR="007A35EF" w:rsidRPr="00314FD1" w:rsidRDefault="007A35EF" w:rsidP="007A35EF">
      <w:pPr>
        <w:jc w:val="both"/>
        <w:rPr>
          <w:rFonts w:cstheme="minorHAnsi"/>
        </w:rPr>
      </w:pPr>
      <w:r w:rsidRPr="00314FD1">
        <w:rPr>
          <w:rFonts w:cstheme="minorHAnsi"/>
        </w:rPr>
        <w:t xml:space="preserve">199.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14:paraId="4E1F5D1A" w14:textId="77777777" w:rsidR="007A35EF" w:rsidRPr="00314FD1" w:rsidRDefault="007A35EF" w:rsidP="007A35EF">
      <w:pPr>
        <w:jc w:val="both"/>
        <w:rPr>
          <w:rFonts w:cstheme="minorHAnsi"/>
        </w:rPr>
      </w:pPr>
      <w:r w:rsidRPr="00314FD1">
        <w:rPr>
          <w:rFonts w:cstheme="minorHAnsi"/>
        </w:rPr>
        <w:t xml:space="preserve">200. Any harm to, or loss of, the significance of a designated heritage asset (from its alteration or destruction, or from development within its setting), should require clear and convincing justification. Substantial harm to or loss of: </w:t>
      </w:r>
    </w:p>
    <w:p w14:paraId="24439D57" w14:textId="77777777" w:rsidR="007A35EF" w:rsidRPr="00314FD1" w:rsidRDefault="007A35EF" w:rsidP="007A35EF">
      <w:pPr>
        <w:jc w:val="both"/>
        <w:rPr>
          <w:rFonts w:cstheme="minorHAnsi"/>
        </w:rPr>
      </w:pPr>
      <w:r w:rsidRPr="00314FD1">
        <w:rPr>
          <w:rFonts w:cstheme="minorHAnsi"/>
        </w:rPr>
        <w:t xml:space="preserve">a) grade II listed buildings, or grade II registered parks or gardens, should be </w:t>
      </w:r>
      <w:proofErr w:type="gramStart"/>
      <w:r w:rsidRPr="00314FD1">
        <w:rPr>
          <w:rFonts w:cstheme="minorHAnsi"/>
        </w:rPr>
        <w:t>exceptional;</w:t>
      </w:r>
      <w:proofErr w:type="gramEnd"/>
      <w:r w:rsidRPr="00314FD1">
        <w:rPr>
          <w:rFonts w:cstheme="minorHAnsi"/>
        </w:rPr>
        <w:t xml:space="preserve"> </w:t>
      </w:r>
    </w:p>
    <w:p w14:paraId="50F7E5DA" w14:textId="77777777" w:rsidR="007A35EF" w:rsidRPr="00314FD1" w:rsidRDefault="007A35EF" w:rsidP="007A35EF">
      <w:pPr>
        <w:jc w:val="both"/>
        <w:rPr>
          <w:rFonts w:cstheme="minorHAnsi"/>
        </w:rPr>
      </w:pPr>
      <w:r w:rsidRPr="00314FD1">
        <w:rPr>
          <w:rFonts w:cstheme="minorHAnsi"/>
        </w:rPr>
        <w:t xml:space="preserve">b) assets of the highest significance, notably scheduled monuments, protected wreck sites, registered battlefields, grade I and II* listed buildings, grade I and II* registered parks and gardens, and World Heritage Sites, should be wholly exceptional. </w:t>
      </w:r>
    </w:p>
    <w:p w14:paraId="5139AE7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201.</w:t>
      </w:r>
      <w:r w:rsidRPr="006D5E0B">
        <w:rPr>
          <w:rFonts w:asciiTheme="minorHAnsi" w:hAnsiTheme="minorHAnsi" w:cstheme="minorHAnsi"/>
          <w:color w:val="0B0C0C"/>
          <w:sz w:val="22"/>
          <w:szCs w:val="22"/>
        </w:rPr>
        <w:t xml:space="preserve"> Where a proposed development will lead to substantial harm to (or total loss of significance of) a designated heritage asset, local planning authorities should refuse consent, unless it can be demonstrated that the substantial harm or total loss is necessary to achieve substantial public benefits that outweigh that harm or loss, or </w:t>
      </w:r>
      <w:proofErr w:type="gramStart"/>
      <w:r w:rsidRPr="006D5E0B">
        <w:rPr>
          <w:rFonts w:asciiTheme="minorHAnsi" w:hAnsiTheme="minorHAnsi" w:cstheme="minorHAnsi"/>
          <w:color w:val="0B0C0C"/>
          <w:sz w:val="22"/>
          <w:szCs w:val="22"/>
        </w:rPr>
        <w:t>all of</w:t>
      </w:r>
      <w:proofErr w:type="gramEnd"/>
      <w:r w:rsidRPr="006D5E0B">
        <w:rPr>
          <w:rFonts w:asciiTheme="minorHAnsi" w:hAnsiTheme="minorHAnsi" w:cstheme="minorHAnsi"/>
          <w:color w:val="0B0C0C"/>
          <w:sz w:val="22"/>
          <w:szCs w:val="22"/>
        </w:rPr>
        <w:t xml:space="preserve"> the following apply:</w:t>
      </w:r>
    </w:p>
    <w:p w14:paraId="2CE6F601"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lastRenderedPageBreak/>
        <w:t>(a) the nature of the heritage asset prevents all reasonable uses of the site; and</w:t>
      </w:r>
    </w:p>
    <w:p w14:paraId="337857F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(b) no viable use of the heritage asset itself can be found in the medium term through appropriate marketing that will enable its conservation; and</w:t>
      </w:r>
    </w:p>
    <w:p w14:paraId="2AD42D4C"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(c) conservation by grant-funding or some form of not for profit, charitable or public ownership is demonstrably not possible; and</w:t>
      </w:r>
    </w:p>
    <w:p w14:paraId="28DA92C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Fonts w:asciiTheme="minorHAnsi" w:hAnsiTheme="minorHAnsi" w:cstheme="minorHAnsi"/>
          <w:color w:val="0B0C0C"/>
          <w:sz w:val="22"/>
          <w:szCs w:val="22"/>
        </w:rPr>
        <w:t>(d) the harm or loss is outweighed by the benefit of bringing the site back into use.</w:t>
      </w:r>
    </w:p>
    <w:p w14:paraId="643DB1C9" w14:textId="77777777" w:rsidR="007A35EF" w:rsidRDefault="007A35EF" w:rsidP="007A35EF">
      <w:pPr>
        <w:pStyle w:val="NormalWeb"/>
        <w:shd w:val="clear" w:color="auto" w:fill="FFFFFF"/>
        <w:spacing w:before="300" w:beforeAutospacing="0" w:after="300" w:afterAutospacing="0"/>
        <w:rPr>
          <w:rFonts w:asciiTheme="minorHAnsi" w:hAnsiTheme="minorHAnsi" w:cstheme="minorHAnsi"/>
          <w:color w:val="0B0C0C"/>
          <w:sz w:val="22"/>
          <w:szCs w:val="22"/>
        </w:rPr>
      </w:pPr>
      <w:r w:rsidRPr="006D5E0B">
        <w:rPr>
          <w:rStyle w:val="Strong"/>
          <w:rFonts w:asciiTheme="minorHAnsi" w:hAnsiTheme="minorHAnsi" w:cstheme="minorHAnsi"/>
          <w:color w:val="0B0C0C"/>
          <w:sz w:val="22"/>
          <w:szCs w:val="22"/>
        </w:rPr>
        <w:t>202.</w:t>
      </w:r>
      <w:r w:rsidRPr="006D5E0B">
        <w:rPr>
          <w:rFonts w:asciiTheme="minorHAnsi" w:hAnsiTheme="minorHAnsi" w:cstheme="minorHAnsi"/>
          <w:color w:val="0B0C0C"/>
          <w:sz w:val="22"/>
          <w:szCs w:val="22"/>
        </w:rPr>
        <w:t> Where a development proposal will lead to less than substantial harm to the significance of a designated heritage asset, this harm should be weighed against the public benefits of the proposal including, where appropriate, securing its optimum viable use.</w:t>
      </w:r>
    </w:p>
    <w:p w14:paraId="2DDA4F87" w14:textId="77777777" w:rsidR="007A35EF" w:rsidRPr="006D5E0B" w:rsidRDefault="007A35EF" w:rsidP="007A35EF">
      <w:pPr>
        <w:pStyle w:val="NormalWeb"/>
        <w:shd w:val="clear" w:color="auto" w:fill="FFFFFF"/>
        <w:spacing w:before="300" w:beforeAutospacing="0" w:after="300" w:afterAutospacing="0"/>
        <w:rPr>
          <w:rFonts w:asciiTheme="minorHAnsi" w:hAnsiTheme="minorHAnsi" w:cstheme="minorHAnsi"/>
          <w:b/>
          <w:bCs/>
          <w:color w:val="0B0C0C"/>
          <w:sz w:val="22"/>
          <w:szCs w:val="22"/>
        </w:rPr>
      </w:pPr>
      <w:r w:rsidRPr="006D5E0B">
        <w:rPr>
          <w:rFonts w:asciiTheme="minorHAnsi" w:hAnsiTheme="minorHAnsi" w:cstheme="minorHAnsi"/>
          <w:b/>
          <w:bCs/>
          <w:color w:val="0B0C0C"/>
          <w:sz w:val="22"/>
          <w:szCs w:val="22"/>
        </w:rPr>
        <w:t>Local Plan</w:t>
      </w:r>
    </w:p>
    <w:p w14:paraId="2B29A9EA" w14:textId="7777777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77777777" w:rsidR="007A35EF" w:rsidRPr="00673AA1" w:rsidRDefault="007A35EF" w:rsidP="007A35EF">
      <w:pPr>
        <w:jc w:val="both"/>
      </w:pPr>
      <w:r w:rsidRPr="00673AA1">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77777777" w:rsidR="007A35EF" w:rsidRPr="00673AA1" w:rsidRDefault="007A35EF" w:rsidP="007A35EF">
      <w:pPr>
        <w:jc w:val="both"/>
      </w:pPr>
      <w:r w:rsidRPr="00673AA1">
        <w:t xml:space="preserve">Identifies and responds positively to existing features of natural, </w:t>
      </w:r>
      <w:proofErr w:type="gramStart"/>
      <w:r w:rsidRPr="00673AA1">
        <w:t>historic</w:t>
      </w:r>
      <w:proofErr w:type="gramEnd"/>
      <w:r w:rsidRPr="00673AA1">
        <w:t xml:space="preserve"> or local character within or close to the proposed development site’.</w:t>
      </w:r>
    </w:p>
    <w:p w14:paraId="0DEDD88D" w14:textId="77777777" w:rsidR="007A35EF" w:rsidRPr="00673AA1" w:rsidRDefault="007A35EF" w:rsidP="007A35EF">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1. Describe the significance of the asset and its setting, using appropriate expertise</w:t>
      </w:r>
    </w:p>
    <w:p w14:paraId="2DA16F5F"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and where necessary original survey, at a level of detail proportionate to its</w:t>
      </w:r>
    </w:p>
    <w:p w14:paraId="253A59C5"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significance and sufficient to understand the potential impact of the proposal.</w:t>
      </w:r>
    </w:p>
    <w:p w14:paraId="4A928E44" w14:textId="77777777" w:rsidR="007A35EF" w:rsidRPr="00673AA1" w:rsidRDefault="007A35EF" w:rsidP="007A35EF">
      <w:pPr>
        <w:autoSpaceDE w:val="0"/>
        <w:autoSpaceDN w:val="0"/>
        <w:adjustRightInd w:val="0"/>
        <w:spacing w:after="0" w:line="240" w:lineRule="auto"/>
        <w:jc w:val="both"/>
        <w:rPr>
          <w:rFonts w:cs="Arial"/>
          <w:bCs/>
        </w:rPr>
      </w:pPr>
    </w:p>
    <w:p w14:paraId="7368AD47"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2. Sets out the impact of the development on the heritage assets and mitigation that is</w:t>
      </w:r>
    </w:p>
    <w:p w14:paraId="11CC7030" w14:textId="77777777" w:rsidR="007A35EF" w:rsidRPr="00673AA1" w:rsidRDefault="007A35EF" w:rsidP="007A35EF">
      <w:pPr>
        <w:autoSpaceDE w:val="0"/>
        <w:autoSpaceDN w:val="0"/>
        <w:adjustRightInd w:val="0"/>
        <w:spacing w:after="0" w:line="240" w:lineRule="auto"/>
        <w:jc w:val="both"/>
        <w:rPr>
          <w:rFonts w:cs="Arial"/>
          <w:bCs/>
        </w:rPr>
      </w:pPr>
      <w:r w:rsidRPr="00673AA1">
        <w:rPr>
          <w:rFonts w:cs="Arial"/>
          <w:bCs/>
        </w:rPr>
        <w:t>proportionate to the impact and the significance of the heritage asset, including</w:t>
      </w:r>
    </w:p>
    <w:p w14:paraId="470AC3DB" w14:textId="3B831C16" w:rsidR="009D3585" w:rsidRPr="007A35EF" w:rsidRDefault="007A35EF" w:rsidP="007A35EF">
      <w:pPr>
        <w:jc w:val="both"/>
      </w:pPr>
      <w:r w:rsidRPr="00673AA1">
        <w:rPr>
          <w:rFonts w:cs="Arial"/>
          <w:bCs/>
        </w:rPr>
        <w:t>where possible positive opportunities to conserve and enjoy heritage assets.</w:t>
      </w:r>
    </w:p>
    <w:p w14:paraId="763ABD3C" w14:textId="77777777" w:rsidR="009D3585" w:rsidRDefault="009D3585" w:rsidP="00F86F4B">
      <w:pPr>
        <w:pStyle w:val="Default"/>
        <w:jc w:val="both"/>
        <w:rPr>
          <w:rFonts w:asciiTheme="minorHAnsi" w:hAnsiTheme="minorHAnsi" w:cstheme="minorHAnsi"/>
          <w:sz w:val="22"/>
          <w:szCs w:val="22"/>
        </w:rPr>
      </w:pPr>
    </w:p>
    <w:p w14:paraId="6F6495D0" w14:textId="77777777" w:rsidR="00F86F4B" w:rsidRPr="008112C4" w:rsidRDefault="00F86F4B" w:rsidP="00F86F4B">
      <w:pPr>
        <w:jc w:val="both"/>
        <w:rPr>
          <w:b/>
          <w:bCs/>
          <w:u w:val="single"/>
        </w:rPr>
      </w:pPr>
      <w:r w:rsidRPr="008112C4">
        <w:rPr>
          <w:b/>
          <w:bCs/>
          <w:u w:val="single"/>
        </w:rPr>
        <w:t xml:space="preserve">Emsworth Neighbourhood Plan </w:t>
      </w:r>
    </w:p>
    <w:p w14:paraId="00D4388A" w14:textId="77777777" w:rsidR="00F86F4B" w:rsidRPr="008112C4" w:rsidRDefault="00F86F4B" w:rsidP="00F86F4B">
      <w:pPr>
        <w:jc w:val="both"/>
      </w:pPr>
      <w:r w:rsidRPr="008112C4">
        <w:t xml:space="preserve">The Emsworth Neighbourhood Plan has now been adopted and has relevant policies which are applicable to this application: </w:t>
      </w:r>
    </w:p>
    <w:p w14:paraId="6889AFDE" w14:textId="77777777" w:rsidR="00F86F4B" w:rsidRPr="008112C4" w:rsidRDefault="00F86F4B" w:rsidP="00F86F4B">
      <w:pPr>
        <w:jc w:val="both"/>
      </w:pPr>
      <w:r w:rsidRPr="008112C4">
        <w:t xml:space="preserve">Policy H1 – Design and Heritage </w:t>
      </w:r>
    </w:p>
    <w:p w14:paraId="052CB829" w14:textId="66C8AC33" w:rsidR="00F86F4B" w:rsidRPr="008112C4" w:rsidRDefault="00F86F4B" w:rsidP="00F86F4B">
      <w:pPr>
        <w:pStyle w:val="Default"/>
        <w:jc w:val="both"/>
        <w:rPr>
          <w:sz w:val="22"/>
          <w:szCs w:val="22"/>
        </w:rPr>
      </w:pPr>
      <w:r w:rsidRPr="008112C4">
        <w:rPr>
          <w:sz w:val="22"/>
          <w:szCs w:val="22"/>
        </w:rPr>
        <w:lastRenderedPageBreak/>
        <w:t xml:space="preserve">Policy H2 – </w:t>
      </w:r>
      <w:r w:rsidR="007A35EF">
        <w:rPr>
          <w:sz w:val="22"/>
          <w:szCs w:val="22"/>
        </w:rPr>
        <w:t xml:space="preserve">Buildings of Local Historic Interest </w:t>
      </w:r>
    </w:p>
    <w:p w14:paraId="1FA1BA0A" w14:textId="77777777" w:rsidR="00F86F4B" w:rsidRDefault="00F86F4B" w:rsidP="00F86F4B">
      <w:pPr>
        <w:pStyle w:val="Default"/>
        <w:jc w:val="both"/>
        <w:rPr>
          <w:rFonts w:asciiTheme="minorHAnsi" w:hAnsiTheme="minorHAnsi" w:cstheme="minorHAnsi"/>
          <w:sz w:val="22"/>
          <w:szCs w:val="22"/>
        </w:rPr>
      </w:pPr>
    </w:p>
    <w:p w14:paraId="1A6ACD81" w14:textId="77777777" w:rsidR="00F86F4B" w:rsidRPr="006A7AB9"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0E5A865D" w14:textId="4BB4A2B5" w:rsidR="00F86F4B" w:rsidRDefault="00F86F4B" w:rsidP="00F86F4B">
      <w:pPr>
        <w:pStyle w:val="Default"/>
        <w:jc w:val="both"/>
        <w:rPr>
          <w:rFonts w:asciiTheme="minorHAnsi" w:hAnsiTheme="minorHAnsi" w:cstheme="minorHAnsi"/>
          <w:sz w:val="22"/>
          <w:szCs w:val="22"/>
        </w:rPr>
      </w:pPr>
    </w:p>
    <w:p w14:paraId="34A0D09E" w14:textId="3A2A2967" w:rsidR="00F84D3D" w:rsidRDefault="00D36325" w:rsidP="00D363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A very similar application was approved under APP/15/00928 for the conversion of the building into a hotel associated with the adjacent restaurant. Whilst this current application is for residential use and not a hotel, the proposed physical changes are very similar. The proposed changes to the front elevation </w:t>
      </w:r>
      <w:proofErr w:type="gramStart"/>
      <w:r>
        <w:rPr>
          <w:rFonts w:cstheme="minorHAnsi"/>
        </w:rPr>
        <w:t>include;</w:t>
      </w:r>
      <w:proofErr w:type="gramEnd"/>
      <w:r>
        <w:rPr>
          <w:rFonts w:cstheme="minorHAnsi"/>
        </w:rPr>
        <w:t xml:space="preserve"> a slight increase in ridge height, the inclusion of 2no. pitched roof dormer windows</w:t>
      </w:r>
      <w:r w:rsidR="00903DF6">
        <w:rPr>
          <w:rFonts w:cstheme="minorHAnsi"/>
        </w:rPr>
        <w:t xml:space="preserve"> and </w:t>
      </w:r>
      <w:r>
        <w:rPr>
          <w:rFonts w:cstheme="minorHAnsi"/>
        </w:rPr>
        <w:t>new fenestration (sash style</w:t>
      </w:r>
      <w:r w:rsidR="00903DF6">
        <w:rPr>
          <w:rFonts w:cstheme="minorHAnsi"/>
        </w:rPr>
        <w:t>,</w:t>
      </w:r>
      <w:r>
        <w:rPr>
          <w:rFonts w:cstheme="minorHAnsi"/>
        </w:rPr>
        <w:t xml:space="preserve"> Georgian windows)</w:t>
      </w:r>
      <w:r w:rsidR="00903DF6">
        <w:rPr>
          <w:rFonts w:cstheme="minorHAnsi"/>
        </w:rPr>
        <w:t xml:space="preserve">. This is almost </w:t>
      </w:r>
      <w:r>
        <w:rPr>
          <w:rFonts w:cstheme="minorHAnsi"/>
        </w:rPr>
        <w:t xml:space="preserve">identical to the already approved front elevation under APP/15/00928). </w:t>
      </w:r>
      <w:r w:rsidR="00181AFF">
        <w:rPr>
          <w:rFonts w:cstheme="minorHAnsi"/>
        </w:rPr>
        <w:t xml:space="preserve">The windows would be replaced with new white painted timber windows. </w:t>
      </w:r>
    </w:p>
    <w:p w14:paraId="34BA1D7D" w14:textId="630A1B7A" w:rsidR="00D36325" w:rsidRDefault="00D36325" w:rsidP="00D363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15CCF3B6" w14:textId="5B37A50A" w:rsidR="00D36325" w:rsidRDefault="00D36325" w:rsidP="00D363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rear elevation proposes a </w:t>
      </w:r>
      <w:r w:rsidR="002121C1">
        <w:rPr>
          <w:rFonts w:cstheme="minorHAnsi"/>
        </w:rPr>
        <w:t xml:space="preserve">single storey and a two-storey extension (to sit side by side) and three, rear facing pitched roof dormer windows. The single storey extension would have a flat roof design with a raised roof lantern. The two-storey extension would feature a pitched roof with a barn hip on the gable end. This is a slightly different arrangement to that approved under APP/15/00928 as both extensions would not extend out so far, particularly the single storey element next to the listed building which is almost reduced in half depth wise. </w:t>
      </w:r>
    </w:p>
    <w:p w14:paraId="00C35A83" w14:textId="6173F9F4" w:rsidR="002121C1" w:rsidRDefault="002121C1" w:rsidP="00D363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3948DF7B" w14:textId="18D38F05" w:rsidR="002121C1" w:rsidRDefault="002121C1" w:rsidP="00D363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Overall, given that the scheme under APP/15/00928, was deemed acceptable, this scheme is of a reduced mass and bulk and therefore arguably has less impact on the adjoining heritage assets</w:t>
      </w:r>
      <w:proofErr w:type="gramStart"/>
      <w:r>
        <w:rPr>
          <w:rFonts w:cstheme="minorHAnsi"/>
        </w:rPr>
        <w:t>, in particular, the</w:t>
      </w:r>
      <w:proofErr w:type="gramEnd"/>
      <w:r>
        <w:rPr>
          <w:rFonts w:cstheme="minorHAnsi"/>
        </w:rPr>
        <w:t xml:space="preserve"> Grade II listed bui</w:t>
      </w:r>
      <w:r w:rsidR="00A27442">
        <w:rPr>
          <w:rFonts w:cstheme="minorHAnsi"/>
        </w:rPr>
        <w:t xml:space="preserve">lding to the south. The single storey extension will still retain a gap between the two buildings as per the previous permission. In terms of the impact on the conservation area, it is considered that this will enhance this part of South Street and therefore the proposal is in accordance with Section 72 of the T&amp;CPA 1990. </w:t>
      </w:r>
    </w:p>
    <w:p w14:paraId="4E9CC331" w14:textId="6EF90E8E" w:rsidR="00D626C3" w:rsidRDefault="00D626C3" w:rsidP="0062217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DB7A5D9" w14:textId="096275D0" w:rsidR="00D626C3" w:rsidRDefault="00D626C3" w:rsidP="00F86F4B">
      <w:pPr>
        <w:pStyle w:val="Default"/>
        <w:jc w:val="both"/>
        <w:rPr>
          <w:rFonts w:asciiTheme="minorHAnsi" w:hAnsiTheme="minorHAnsi" w:cstheme="minorHAnsi"/>
          <w:b/>
          <w:sz w:val="22"/>
          <w:szCs w:val="22"/>
          <w:u w:val="single"/>
        </w:rPr>
      </w:pPr>
    </w:p>
    <w:p w14:paraId="582BA144" w14:textId="4CB7B2E4" w:rsidR="00D626C3" w:rsidRDefault="00D626C3" w:rsidP="00D626C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In summary, it is considered that the proposal would not be harmful to the significance of the </w:t>
      </w:r>
      <w:r w:rsidR="00B55D75">
        <w:rPr>
          <w:rFonts w:cstheme="minorHAnsi"/>
        </w:rPr>
        <w:t xml:space="preserve">adjacent </w:t>
      </w:r>
      <w:r>
        <w:rPr>
          <w:rFonts w:cstheme="minorHAnsi"/>
        </w:rPr>
        <w:t>heritage asset</w:t>
      </w:r>
      <w:r w:rsidR="00B55D75">
        <w:rPr>
          <w:rFonts w:cstheme="minorHAnsi"/>
        </w:rPr>
        <w:t>s</w:t>
      </w:r>
      <w:r>
        <w:rPr>
          <w:rFonts w:cstheme="minorHAnsi"/>
        </w:rPr>
        <w:t xml:space="preserve"> and would preserve and enhance the special qualities of the conservation area, meeting the tests set out in Sections 66 and 72 of the T&amp;CPA 1990 (Listed Buildings and Conservation Areas). </w:t>
      </w:r>
    </w:p>
    <w:p w14:paraId="214E6955" w14:textId="77777777" w:rsidR="00D626C3" w:rsidRDefault="00D626C3" w:rsidP="00F86F4B">
      <w:pPr>
        <w:pStyle w:val="Default"/>
        <w:jc w:val="both"/>
        <w:rPr>
          <w:rFonts w:asciiTheme="minorHAnsi" w:hAnsiTheme="minorHAnsi" w:cstheme="minorHAnsi"/>
          <w:b/>
          <w:sz w:val="22"/>
          <w:szCs w:val="22"/>
          <w:u w:val="single"/>
        </w:rPr>
      </w:pPr>
    </w:p>
    <w:p w14:paraId="04767BD8" w14:textId="5164C5C8" w:rsidR="00F86F4B" w:rsidRPr="00D626C3" w:rsidRDefault="0091676B" w:rsidP="00F86F4B">
      <w:pPr>
        <w:pStyle w:val="Default"/>
        <w:jc w:val="both"/>
        <w:rPr>
          <w:rFonts w:cstheme="minorHAnsi"/>
          <w:sz w:val="22"/>
          <w:szCs w:val="22"/>
        </w:rPr>
      </w:pPr>
      <w:r w:rsidRPr="00D626C3">
        <w:rPr>
          <w:rFonts w:cstheme="minorHAnsi"/>
          <w:b/>
          <w:bCs/>
          <w:sz w:val="22"/>
          <w:szCs w:val="22"/>
        </w:rPr>
        <w:t xml:space="preserve">NO </w:t>
      </w:r>
      <w:r w:rsidR="00F86F4B" w:rsidRPr="00D626C3">
        <w:rPr>
          <w:rFonts w:cstheme="minorHAnsi"/>
          <w:b/>
          <w:bCs/>
          <w:sz w:val="22"/>
          <w:szCs w:val="22"/>
        </w:rPr>
        <w:t xml:space="preserve">OBJECTION </w:t>
      </w:r>
      <w:r w:rsidR="00D626C3" w:rsidRPr="00D626C3">
        <w:rPr>
          <w:rFonts w:cstheme="minorHAnsi"/>
          <w:sz w:val="22"/>
          <w:szCs w:val="22"/>
        </w:rPr>
        <w:t xml:space="preserve">subject to the following conditions: </w:t>
      </w:r>
    </w:p>
    <w:p w14:paraId="220460CD" w14:textId="1D025577" w:rsidR="00D626C3" w:rsidRPr="00D626C3" w:rsidRDefault="00D626C3" w:rsidP="00F86F4B">
      <w:pPr>
        <w:pStyle w:val="Default"/>
        <w:jc w:val="both"/>
        <w:rPr>
          <w:rFonts w:cstheme="minorHAnsi"/>
          <w:sz w:val="22"/>
          <w:szCs w:val="22"/>
        </w:rPr>
      </w:pPr>
    </w:p>
    <w:p w14:paraId="70A006B3" w14:textId="3DD729C2" w:rsidR="00181AFF" w:rsidRDefault="002A4D9F" w:rsidP="00D626C3">
      <w:pPr>
        <w:pStyle w:val="Default"/>
        <w:numPr>
          <w:ilvl w:val="0"/>
          <w:numId w:val="8"/>
        </w:numPr>
        <w:jc w:val="both"/>
        <w:rPr>
          <w:rFonts w:cstheme="minorHAnsi"/>
          <w:sz w:val="22"/>
          <w:szCs w:val="22"/>
        </w:rPr>
      </w:pPr>
      <w:r>
        <w:rPr>
          <w:rFonts w:cstheme="minorHAnsi"/>
          <w:sz w:val="22"/>
          <w:szCs w:val="22"/>
        </w:rPr>
        <w:t>Unless specified, m</w:t>
      </w:r>
      <w:r w:rsidR="00181AFF">
        <w:rPr>
          <w:rFonts w:cstheme="minorHAnsi"/>
          <w:sz w:val="22"/>
          <w:szCs w:val="22"/>
        </w:rPr>
        <w:t xml:space="preserve">atching materials </w:t>
      </w:r>
    </w:p>
    <w:p w14:paraId="3031065E" w14:textId="205F26A8" w:rsidR="002A4D9F" w:rsidRDefault="00181AFF" w:rsidP="00D626C3">
      <w:pPr>
        <w:pStyle w:val="Default"/>
        <w:numPr>
          <w:ilvl w:val="0"/>
          <w:numId w:val="8"/>
        </w:numPr>
        <w:jc w:val="both"/>
        <w:rPr>
          <w:rFonts w:cstheme="minorHAnsi"/>
          <w:sz w:val="22"/>
          <w:szCs w:val="22"/>
        </w:rPr>
      </w:pPr>
      <w:r>
        <w:rPr>
          <w:rFonts w:cstheme="minorHAnsi"/>
          <w:sz w:val="22"/>
          <w:szCs w:val="22"/>
        </w:rPr>
        <w:t xml:space="preserve">Windows to be finished with white painted timber as per </w:t>
      </w:r>
      <w:r w:rsidR="002A4D9F">
        <w:rPr>
          <w:rFonts w:cstheme="minorHAnsi"/>
          <w:sz w:val="22"/>
          <w:szCs w:val="22"/>
        </w:rPr>
        <w:t>agents’</w:t>
      </w:r>
      <w:r>
        <w:rPr>
          <w:rFonts w:cstheme="minorHAnsi"/>
          <w:sz w:val="22"/>
          <w:szCs w:val="22"/>
        </w:rPr>
        <w:t xml:space="preserve"> confirmation </w:t>
      </w:r>
    </w:p>
    <w:p w14:paraId="7D958A85" w14:textId="52CA6E67" w:rsidR="00D626C3" w:rsidRDefault="002A4D9F" w:rsidP="00D626C3">
      <w:pPr>
        <w:pStyle w:val="Default"/>
        <w:numPr>
          <w:ilvl w:val="0"/>
          <w:numId w:val="8"/>
        </w:numPr>
        <w:jc w:val="both"/>
        <w:rPr>
          <w:rFonts w:cstheme="minorHAnsi"/>
          <w:sz w:val="22"/>
          <w:szCs w:val="22"/>
        </w:rPr>
      </w:pPr>
      <w:r>
        <w:rPr>
          <w:rFonts w:cstheme="minorHAnsi"/>
          <w:sz w:val="22"/>
          <w:szCs w:val="22"/>
        </w:rPr>
        <w:t xml:space="preserve">If new materials, please include a condition requesting material samples  </w:t>
      </w:r>
      <w:r w:rsidR="00802435">
        <w:rPr>
          <w:rFonts w:cstheme="minorHAnsi"/>
          <w:sz w:val="22"/>
          <w:szCs w:val="22"/>
        </w:rPr>
        <w:t xml:space="preserve"> </w:t>
      </w: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1"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1410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5"/>
  </w:num>
  <w:num w:numId="4" w16cid:durableId="1163668817">
    <w:abstractNumId w:val="4"/>
  </w:num>
  <w:num w:numId="5" w16cid:durableId="535698626">
    <w:abstractNumId w:val="3"/>
  </w:num>
  <w:num w:numId="6" w16cid:durableId="74518573">
    <w:abstractNumId w:val="7"/>
  </w:num>
  <w:num w:numId="7" w16cid:durableId="374933229">
    <w:abstractNumId w:val="8"/>
  </w:num>
  <w:num w:numId="8" w16cid:durableId="907615647">
    <w:abstractNumId w:val="6"/>
  </w:num>
  <w:num w:numId="9" w16cid:durableId="16376811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456"/>
    <w:rsid w:val="00031E65"/>
    <w:rsid w:val="00046471"/>
    <w:rsid w:val="000522DE"/>
    <w:rsid w:val="000C2B35"/>
    <w:rsid w:val="000D155D"/>
    <w:rsid w:val="000D6036"/>
    <w:rsid w:val="00123301"/>
    <w:rsid w:val="00181AFF"/>
    <w:rsid w:val="00187FF9"/>
    <w:rsid w:val="001C3AF7"/>
    <w:rsid w:val="002121C1"/>
    <w:rsid w:val="00272D95"/>
    <w:rsid w:val="00280006"/>
    <w:rsid w:val="002A4D9F"/>
    <w:rsid w:val="002A79BA"/>
    <w:rsid w:val="002B284B"/>
    <w:rsid w:val="002B3D0D"/>
    <w:rsid w:val="00332A3A"/>
    <w:rsid w:val="00346F83"/>
    <w:rsid w:val="00361FE7"/>
    <w:rsid w:val="00376316"/>
    <w:rsid w:val="003F10F2"/>
    <w:rsid w:val="003F25F0"/>
    <w:rsid w:val="003F76FA"/>
    <w:rsid w:val="00410C73"/>
    <w:rsid w:val="00412C64"/>
    <w:rsid w:val="00440348"/>
    <w:rsid w:val="004542E1"/>
    <w:rsid w:val="004659F2"/>
    <w:rsid w:val="004A129E"/>
    <w:rsid w:val="004F6F64"/>
    <w:rsid w:val="00512EFE"/>
    <w:rsid w:val="0053206B"/>
    <w:rsid w:val="0058224A"/>
    <w:rsid w:val="00584600"/>
    <w:rsid w:val="005C1632"/>
    <w:rsid w:val="00622171"/>
    <w:rsid w:val="00624647"/>
    <w:rsid w:val="00662692"/>
    <w:rsid w:val="00673AA1"/>
    <w:rsid w:val="006855AA"/>
    <w:rsid w:val="0069659F"/>
    <w:rsid w:val="006A54BC"/>
    <w:rsid w:val="006A7AB9"/>
    <w:rsid w:val="006B5B64"/>
    <w:rsid w:val="006F2359"/>
    <w:rsid w:val="0079447F"/>
    <w:rsid w:val="0079518A"/>
    <w:rsid w:val="007A35EF"/>
    <w:rsid w:val="00802435"/>
    <w:rsid w:val="00852456"/>
    <w:rsid w:val="00862FC1"/>
    <w:rsid w:val="008726D6"/>
    <w:rsid w:val="00901AF2"/>
    <w:rsid w:val="00903DF6"/>
    <w:rsid w:val="0091676B"/>
    <w:rsid w:val="00930C2D"/>
    <w:rsid w:val="009327D6"/>
    <w:rsid w:val="00980463"/>
    <w:rsid w:val="00984F41"/>
    <w:rsid w:val="009D3585"/>
    <w:rsid w:val="009E2F11"/>
    <w:rsid w:val="009F782C"/>
    <w:rsid w:val="00A07E34"/>
    <w:rsid w:val="00A27442"/>
    <w:rsid w:val="00A54386"/>
    <w:rsid w:val="00A63170"/>
    <w:rsid w:val="00A71E05"/>
    <w:rsid w:val="00AB323F"/>
    <w:rsid w:val="00AD5038"/>
    <w:rsid w:val="00AF354D"/>
    <w:rsid w:val="00B32D3E"/>
    <w:rsid w:val="00B42C4C"/>
    <w:rsid w:val="00B55D75"/>
    <w:rsid w:val="00B82954"/>
    <w:rsid w:val="00BE1F2E"/>
    <w:rsid w:val="00BE360F"/>
    <w:rsid w:val="00BE59F6"/>
    <w:rsid w:val="00BF67AB"/>
    <w:rsid w:val="00C02690"/>
    <w:rsid w:val="00C05141"/>
    <w:rsid w:val="00C11393"/>
    <w:rsid w:val="00CA11A3"/>
    <w:rsid w:val="00CD4C97"/>
    <w:rsid w:val="00CE4CC6"/>
    <w:rsid w:val="00D10755"/>
    <w:rsid w:val="00D2784B"/>
    <w:rsid w:val="00D36325"/>
    <w:rsid w:val="00D4474D"/>
    <w:rsid w:val="00D626C3"/>
    <w:rsid w:val="00DA19B4"/>
    <w:rsid w:val="00DA36C4"/>
    <w:rsid w:val="00DD38FB"/>
    <w:rsid w:val="00E236AF"/>
    <w:rsid w:val="00E307EA"/>
    <w:rsid w:val="00E31470"/>
    <w:rsid w:val="00E31B3A"/>
    <w:rsid w:val="00E436C1"/>
    <w:rsid w:val="00E604DA"/>
    <w:rsid w:val="00EA43A9"/>
    <w:rsid w:val="00F14AFD"/>
    <w:rsid w:val="00F45927"/>
    <w:rsid w:val="00F55D8A"/>
    <w:rsid w:val="00F84D3D"/>
    <w:rsid w:val="00F86F4B"/>
    <w:rsid w:val="00F91CAF"/>
    <w:rsid w:val="00F91F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chartTrackingRefBased/>
  <w15:docId w15:val="{CBC65BB3-0167-474C-A4CC-C594607AF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1744</Words>
  <Characters>9946</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Donophy, Selina</cp:lastModifiedBy>
  <cp:revision>2</cp:revision>
  <dcterms:created xsi:type="dcterms:W3CDTF">2023-05-09T14:30:00Z</dcterms:created>
  <dcterms:modified xsi:type="dcterms:W3CDTF">2023-05-09T14:30:00Z</dcterms:modified>
</cp:coreProperties>
</file>