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7A26B45F" w:rsidR="00F91FE6" w:rsidRPr="009327D6" w:rsidRDefault="00F91FE6" w:rsidP="00852456">
      <w:pPr>
        <w:jc w:val="both"/>
        <w:rPr>
          <w:rFonts w:cstheme="minorHAnsi"/>
          <w:b/>
          <w:u w:val="single"/>
        </w:rPr>
      </w:pPr>
      <w:r w:rsidRPr="009327D6">
        <w:rPr>
          <w:rFonts w:cstheme="minorHAnsi"/>
          <w:b/>
          <w:u w:val="single"/>
        </w:rPr>
        <w:t>Date –</w:t>
      </w:r>
      <w:r w:rsidR="0094377D">
        <w:rPr>
          <w:rFonts w:cstheme="minorHAnsi"/>
          <w:b/>
          <w:u w:val="single"/>
        </w:rPr>
        <w:t xml:space="preserve"> </w:t>
      </w:r>
      <w:r w:rsidR="00787154">
        <w:rPr>
          <w:rFonts w:cstheme="minorHAnsi"/>
          <w:b/>
          <w:u w:val="single"/>
        </w:rPr>
        <w:t>20/2/23</w:t>
      </w:r>
    </w:p>
    <w:p w14:paraId="53855C3A" w14:textId="3B4DC386"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787154">
        <w:rPr>
          <w:rFonts w:cstheme="minorHAnsi"/>
          <w:b/>
          <w:u w:val="single"/>
        </w:rPr>
        <w:t xml:space="preserve">3/00006 and 00007 – Church House, The Pallant, Havant </w:t>
      </w:r>
    </w:p>
    <w:p w14:paraId="3E300C30" w14:textId="6FEE2617" w:rsidR="00852456" w:rsidRDefault="00852456" w:rsidP="00852456">
      <w:pPr>
        <w:jc w:val="both"/>
        <w:rPr>
          <w:rFonts w:cstheme="minorHAnsi"/>
          <w:b/>
          <w:u w:val="single"/>
        </w:rPr>
      </w:pPr>
      <w:r w:rsidRPr="009327D6">
        <w:rPr>
          <w:rFonts w:cstheme="minorHAnsi"/>
          <w:b/>
          <w:u w:val="single"/>
        </w:rPr>
        <w:t>Background</w:t>
      </w:r>
    </w:p>
    <w:p w14:paraId="45D1FEE4" w14:textId="061E24CF" w:rsidR="00787154" w:rsidRDefault="0094377D" w:rsidP="00852456">
      <w:pPr>
        <w:jc w:val="both"/>
      </w:pPr>
      <w:r>
        <w:t xml:space="preserve">The application site </w:t>
      </w:r>
      <w:proofErr w:type="gramStart"/>
      <w:r>
        <w:t>is located in</w:t>
      </w:r>
      <w:proofErr w:type="gramEnd"/>
      <w:r>
        <w:t xml:space="preserve"> </w:t>
      </w:r>
      <w:r w:rsidR="00787154">
        <w:t xml:space="preserve">the Pallant in Havant Town Centre. It is located within the St Faiths Conservation Area. </w:t>
      </w:r>
    </w:p>
    <w:p w14:paraId="4D76DC42" w14:textId="11DC8410" w:rsidR="00787154" w:rsidRDefault="00787154" w:rsidP="00852456">
      <w:pPr>
        <w:jc w:val="both"/>
      </w:pPr>
      <w:r>
        <w:t xml:space="preserve">Church House was originally Pallant House and is Grade II listed. The formal listing is as follows: </w:t>
      </w:r>
    </w:p>
    <w:p w14:paraId="1EA8828D" w14:textId="41A50C3A" w:rsidR="00787154" w:rsidRDefault="00787154" w:rsidP="00852456">
      <w:pPr>
        <w:jc w:val="both"/>
      </w:pPr>
    </w:p>
    <w:p w14:paraId="73D2DEF7" w14:textId="272522E9" w:rsidR="00787154" w:rsidRPr="00787154" w:rsidRDefault="00787154" w:rsidP="00852456">
      <w:pPr>
        <w:jc w:val="both"/>
        <w:rPr>
          <w:i/>
          <w:iCs/>
        </w:rPr>
      </w:pPr>
      <w:r w:rsidRPr="00787154">
        <w:rPr>
          <w:rFonts w:ascii="Source Sans Pro" w:hAnsi="Source Sans Pro"/>
          <w:i/>
          <w:iCs/>
          <w:color w:val="000000"/>
          <w:sz w:val="27"/>
          <w:szCs w:val="27"/>
          <w:shd w:val="clear" w:color="auto" w:fill="FFFFFF"/>
        </w:rPr>
        <w:t>House (church office). C18, with early C19 alterations. Brick, with a tile roof. Symmetrical north side of 2 storeys and attic, 3 windows. Tile roof with coved plastered eaves, 3 hipped dormers with sashes. Painted brick walling in Flemish bond, rubbed flat arches, plastered 1st floor band and plinth. Victorian sashes. The west gable, with southward extensions, includes decorated cusped bargeboards and a porch of 4 columns, with cornice, panelled frieze, 6-flush-panelled door between side windows. The long east wing has a tile roof, brick dentil eaves, red brick walls in Flemish bond, rubbed flat arches, and Victorian sashes. The plain, brick and tile, stable block at the south-west corner, is used as a shop.</w:t>
      </w:r>
    </w:p>
    <w:p w14:paraId="51FFD661" w14:textId="4BA0E988" w:rsidR="00787154" w:rsidRDefault="00787154" w:rsidP="00852456">
      <w:pPr>
        <w:jc w:val="both"/>
      </w:pPr>
      <w:r>
        <w:t xml:space="preserve">The church hall lies to the east of the main listed house and occupies part of the garden. There is a 2m high brick wall which extends along part of the Pallant, enclosing the private car park to the site. This is supported by brick buttresses from the public highway side. The wall is not </w:t>
      </w:r>
      <w:r w:rsidR="004D229A">
        <w:t>specified</w:t>
      </w:r>
      <w:r>
        <w:t xml:space="preserve"> in the </w:t>
      </w:r>
      <w:r w:rsidR="004D229A">
        <w:t>listing</w:t>
      </w:r>
      <w:r>
        <w:t xml:space="preserve"> but i</w:t>
      </w:r>
      <w:r w:rsidR="004D229A">
        <w:t xml:space="preserve">s attached to the main listed building. </w:t>
      </w:r>
    </w:p>
    <w:p w14:paraId="2DBBE7C4" w14:textId="1686FC71" w:rsidR="00624647" w:rsidRDefault="00624647" w:rsidP="00852456">
      <w:pPr>
        <w:jc w:val="both"/>
        <w:rPr>
          <w:rFonts w:cstheme="minorHAnsi"/>
          <w:b/>
          <w:bCs/>
          <w:u w:val="single"/>
        </w:rPr>
      </w:pPr>
      <w:r w:rsidRPr="009327D6">
        <w:rPr>
          <w:rFonts w:cstheme="minorHAnsi"/>
          <w:b/>
          <w:bCs/>
          <w:u w:val="single"/>
        </w:rPr>
        <w:t>Proposal</w:t>
      </w:r>
    </w:p>
    <w:p w14:paraId="39308871" w14:textId="15EF3C82" w:rsidR="00E523F2" w:rsidRDefault="00E523F2" w:rsidP="00E523F2">
      <w:pPr>
        <w:autoSpaceDE w:val="0"/>
        <w:autoSpaceDN w:val="0"/>
        <w:adjustRightInd w:val="0"/>
        <w:spacing w:after="0" w:line="240" w:lineRule="auto"/>
        <w:rPr>
          <w:rFonts w:cstheme="minorHAnsi"/>
        </w:rPr>
      </w:pPr>
    </w:p>
    <w:p w14:paraId="1631D549" w14:textId="5B2C5A3D" w:rsidR="004D229A" w:rsidRPr="004D229A" w:rsidRDefault="004D229A" w:rsidP="004D229A">
      <w:pPr>
        <w:autoSpaceDE w:val="0"/>
        <w:autoSpaceDN w:val="0"/>
        <w:adjustRightInd w:val="0"/>
        <w:spacing w:after="0" w:line="240" w:lineRule="auto"/>
        <w:rPr>
          <w:rFonts w:cstheme="minorHAnsi"/>
        </w:rPr>
      </w:pPr>
      <w:r>
        <w:rPr>
          <w:rFonts w:cstheme="minorHAnsi"/>
        </w:rPr>
        <w:t xml:space="preserve">Planning permission and listed building consent for </w:t>
      </w:r>
      <w:r w:rsidRPr="004D229A">
        <w:rPr>
          <w:rFonts w:cstheme="minorHAnsi"/>
        </w:rPr>
        <w:t>construction of 4no. brick buttresses to rear side of existing brick boundary wall.</w:t>
      </w:r>
    </w:p>
    <w:p w14:paraId="12CA4C35" w14:textId="77777777" w:rsidR="004D229A" w:rsidRPr="009946D8" w:rsidRDefault="004D229A" w:rsidP="009946D8">
      <w:pPr>
        <w:autoSpaceDE w:val="0"/>
        <w:autoSpaceDN w:val="0"/>
        <w:adjustRightInd w:val="0"/>
        <w:spacing w:after="0" w:line="240" w:lineRule="auto"/>
        <w:rPr>
          <w:rFonts w:ascii="Arial" w:hAnsi="Arial" w:cs="Arial"/>
        </w:rPr>
      </w:pPr>
    </w:p>
    <w:p w14:paraId="75E6E023" w14:textId="5EC4BCEF" w:rsidR="00852456" w:rsidRDefault="00852456" w:rsidP="00852456">
      <w:pPr>
        <w:jc w:val="both"/>
        <w:rPr>
          <w:rFonts w:cstheme="minorHAnsi"/>
          <w:b/>
          <w:u w:val="single"/>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5D5356AB" w14:textId="77777777" w:rsidR="00EB0CE7" w:rsidRPr="00AE42BD" w:rsidRDefault="00EB0CE7" w:rsidP="00EB0CE7">
      <w:pPr>
        <w:suppressAutoHyphens/>
        <w:autoSpaceDN w:val="0"/>
        <w:spacing w:before="100" w:after="100"/>
        <w:textAlignment w:val="baseline"/>
        <w:rPr>
          <w:rFonts w:eastAsia="Calibri" w:cstheme="minorHAnsi"/>
          <w:color w:val="000000"/>
          <w:u w:val="single"/>
        </w:rPr>
      </w:pPr>
      <w:r w:rsidRPr="00AE42BD">
        <w:rPr>
          <w:rFonts w:cstheme="minorHAnsi"/>
          <w:color w:val="000000"/>
        </w:rPr>
        <w:t xml:space="preserve">Section 16 of the Planning (Listed Buildings and Conservation Areas) Act 1990 ("1990 Act") requires local planning authorities to have special regard to the desirability of preserving a listed building, its </w:t>
      </w:r>
      <w:proofErr w:type="gramStart"/>
      <w:r w:rsidRPr="00AE42BD">
        <w:rPr>
          <w:rFonts w:cstheme="minorHAnsi"/>
          <w:color w:val="000000"/>
        </w:rPr>
        <w:t>setting</w:t>
      </w:r>
      <w:proofErr w:type="gramEnd"/>
      <w:r w:rsidRPr="00AE42BD">
        <w:rPr>
          <w:rFonts w:cstheme="minorHAnsi"/>
          <w:color w:val="000000"/>
        </w:rPr>
        <w:t xml:space="preserve"> or any features of special architectural or historic interest when considering whether to grant listed building consent.</w:t>
      </w:r>
    </w:p>
    <w:p w14:paraId="6130D21C" w14:textId="77777777" w:rsidR="00EB0CE7" w:rsidRDefault="00EB0CE7" w:rsidP="00EB0CE7">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8F95CE8" w14:textId="77777777" w:rsidR="00EB0CE7" w:rsidRPr="00AE42BD" w:rsidRDefault="00EB0CE7" w:rsidP="00EB0CE7">
      <w:pPr>
        <w:rPr>
          <w:rFonts w:eastAsia="Times New Roman" w:cstheme="minorHAnsi"/>
        </w:rPr>
      </w:pPr>
      <w:r w:rsidRPr="00AE42BD">
        <w:rPr>
          <w:rFonts w:eastAsia="Times New Roman" w:cstheme="minorHAnsi"/>
        </w:rPr>
        <w:t xml:space="preserve">The need for the decision taker to attach considerable or special weight to the desirability of preserving the setting of listed buildings has been reinforced through two recent high court </w:t>
      </w:r>
      <w:r w:rsidRPr="00AE42BD">
        <w:rPr>
          <w:rFonts w:eastAsia="Times New Roman" w:cstheme="minorHAnsi"/>
        </w:rPr>
        <w:lastRenderedPageBreak/>
        <w:t>decisions of: Barnwell Manor Wind Energy Limited vs. East Northamptonshire District Council et al (2014); and North Norfolk District Council vs. DCLG and Mack (2014).</w:t>
      </w:r>
    </w:p>
    <w:p w14:paraId="016DF6DE" w14:textId="77777777" w:rsidR="00EB0CE7" w:rsidRPr="00AE42BD" w:rsidRDefault="00EB0CE7" w:rsidP="00EB0CE7">
      <w:pPr>
        <w:rPr>
          <w:rFonts w:eastAsia="Times New Roman" w:cstheme="minorHAnsi"/>
        </w:rPr>
      </w:pPr>
      <w:r w:rsidRPr="00AE42BD">
        <w:rPr>
          <w:rFonts w:eastAsia="Times New Roman" w:cstheme="minorHAnsi"/>
        </w:rPr>
        <w:t>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512C2DA2" w14:textId="77777777" w:rsidR="00EB0CE7" w:rsidRDefault="00EB0CE7" w:rsidP="00EB0CE7">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6DF8143" w14:textId="77777777" w:rsidR="00EB0CE7" w:rsidRDefault="00EB0CE7" w:rsidP="00EB0CE7">
      <w:pPr>
        <w:jc w:val="both"/>
      </w:pPr>
      <w:r w:rsidRPr="003204D6">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676E9FE9" w14:textId="77777777" w:rsidR="00EB0CE7" w:rsidRPr="003204D6" w:rsidRDefault="00EB0CE7" w:rsidP="00EB0CE7">
      <w:pPr>
        <w:jc w:val="both"/>
      </w:pPr>
      <w:r w:rsidRPr="003204D6">
        <w:t>18</w:t>
      </w:r>
      <w:r>
        <w:t>9</w:t>
      </w:r>
      <w:r w:rsidRPr="003204D6">
        <w:t xml:space="preserve">.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204D6">
        <w:t>resource, and</w:t>
      </w:r>
      <w:proofErr w:type="gramEnd"/>
      <w:r w:rsidRPr="003204D6">
        <w:t xml:space="preserve"> should be conserved in a manner appropriate to their significance, so that they can be enjoyed for their contribution to the quality of life of existing and future generations.</w:t>
      </w:r>
    </w:p>
    <w:p w14:paraId="19F98CCE" w14:textId="77777777" w:rsidR="00EB0CE7" w:rsidRPr="003204D6" w:rsidRDefault="00EB0CE7" w:rsidP="00EB0CE7">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59B888A" w14:textId="77777777" w:rsidR="00EB0CE7" w:rsidRPr="003204D6" w:rsidRDefault="00EB0CE7" w:rsidP="00EB0CE7">
      <w:pPr>
        <w:jc w:val="both"/>
      </w:pPr>
      <w:r w:rsidRPr="003204D6">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0AD1D779" w14:textId="77777777" w:rsidR="00EB0CE7" w:rsidRPr="003204D6" w:rsidRDefault="00EB0CE7" w:rsidP="00EB0CE7">
      <w:pPr>
        <w:jc w:val="both"/>
      </w:pPr>
      <w:r w:rsidRPr="003204D6">
        <w:t>19</w:t>
      </w:r>
      <w:r>
        <w:t>6</w:t>
      </w:r>
      <w:r w:rsidRPr="003204D6">
        <w:t xml:space="preserve">. Where there is evidence of deliberate neglect of, or damage to, a heritage asset, the deteriorated state of the heritage asset should not be </w:t>
      </w:r>
      <w:proofErr w:type="gramStart"/>
      <w:r w:rsidRPr="003204D6">
        <w:t>taken into account</w:t>
      </w:r>
      <w:proofErr w:type="gramEnd"/>
      <w:r w:rsidRPr="003204D6">
        <w:t xml:space="preserve"> in any decision. </w:t>
      </w:r>
    </w:p>
    <w:p w14:paraId="2F43FF6B" w14:textId="77777777" w:rsidR="00EB0CE7" w:rsidRPr="003204D6" w:rsidRDefault="00EB0CE7" w:rsidP="00EB0CE7">
      <w:pPr>
        <w:jc w:val="both"/>
      </w:pPr>
      <w:r w:rsidRPr="003204D6">
        <w:t>1</w:t>
      </w:r>
      <w:r>
        <w:t>97</w:t>
      </w:r>
      <w:r w:rsidRPr="003204D6">
        <w:t xml:space="preserve">. In determining applications, local planning authorities should take account of: </w:t>
      </w:r>
    </w:p>
    <w:p w14:paraId="5EAA8A21" w14:textId="77777777" w:rsidR="00EB0CE7" w:rsidRPr="003204D6" w:rsidRDefault="00EB0CE7" w:rsidP="00EB0CE7">
      <w:pPr>
        <w:jc w:val="both"/>
      </w:pPr>
      <w:r w:rsidRPr="003204D6">
        <w:t xml:space="preserve">a) the desirability of sustaining and enhancing the significance of heritage assets and putting them to viable uses consistent with their </w:t>
      </w:r>
      <w:proofErr w:type="gramStart"/>
      <w:r w:rsidRPr="003204D6">
        <w:t>conservation;</w:t>
      </w:r>
      <w:proofErr w:type="gramEnd"/>
      <w:r w:rsidRPr="003204D6">
        <w:t xml:space="preserve"> </w:t>
      </w:r>
    </w:p>
    <w:p w14:paraId="4F820128" w14:textId="77777777" w:rsidR="00EB0CE7" w:rsidRPr="003204D6" w:rsidRDefault="00EB0CE7" w:rsidP="00EB0CE7">
      <w:pPr>
        <w:jc w:val="both"/>
      </w:pPr>
      <w:r w:rsidRPr="003204D6">
        <w:t xml:space="preserve">b) the positive contribution that conservation of heritage assets can make to sustainable communities including their economic vitality; and </w:t>
      </w:r>
    </w:p>
    <w:p w14:paraId="49734E52" w14:textId="77777777" w:rsidR="00EB0CE7" w:rsidRDefault="00EB0CE7" w:rsidP="00EB0CE7">
      <w:pPr>
        <w:jc w:val="both"/>
      </w:pPr>
      <w:r w:rsidRPr="003204D6">
        <w:t>c) the desirability of new development making a positive contribution to local character and distinctiveness.</w:t>
      </w:r>
    </w:p>
    <w:p w14:paraId="6790841E" w14:textId="77777777" w:rsidR="00EB0CE7" w:rsidRPr="003204D6" w:rsidRDefault="00EB0CE7" w:rsidP="00EB0CE7">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w:t>
      </w:r>
      <w:r w:rsidRPr="003204D6">
        <w:lastRenderedPageBreak/>
        <w:t xml:space="preserve">asset, the greater the weight should be). This is irrespective of whether any potential harm amounts to substantial harm, total loss or less than substantial harm to its significance. </w:t>
      </w:r>
    </w:p>
    <w:p w14:paraId="2E29550E" w14:textId="77777777" w:rsidR="00EB0CE7" w:rsidRPr="003204D6" w:rsidRDefault="00EB0CE7" w:rsidP="00EB0CE7">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02B0D1FB" w14:textId="77777777" w:rsidR="00EB0CE7" w:rsidRPr="003204D6" w:rsidRDefault="00EB0CE7" w:rsidP="00EB0CE7">
      <w:pPr>
        <w:jc w:val="both"/>
      </w:pPr>
      <w:r w:rsidRPr="003204D6">
        <w:t xml:space="preserve">a) grade II listed buildings, or grade II registered parks or gardens, should be </w:t>
      </w:r>
      <w:proofErr w:type="gramStart"/>
      <w:r w:rsidRPr="003204D6">
        <w:t>exceptional;</w:t>
      </w:r>
      <w:proofErr w:type="gramEnd"/>
      <w:r w:rsidRPr="003204D6">
        <w:t xml:space="preserve"> </w:t>
      </w:r>
    </w:p>
    <w:p w14:paraId="54744022" w14:textId="77777777" w:rsidR="00EB0CE7" w:rsidRDefault="00EB0CE7" w:rsidP="00EB0CE7">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0ACD29CE" w14:textId="77777777" w:rsidR="00EB0CE7" w:rsidRDefault="00EB0CE7" w:rsidP="00EB0CE7">
      <w:pPr>
        <w:jc w:val="both"/>
        <w:rPr>
          <w:b/>
          <w:u w:val="single"/>
        </w:rPr>
      </w:pPr>
      <w:r>
        <w:rPr>
          <w:b/>
          <w:u w:val="single"/>
        </w:rPr>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 xml:space="preserve">Planning permission will be granted for development that is designed to a high standard, which helps to create places where people want to live, </w:t>
      </w:r>
      <w:proofErr w:type="gramStart"/>
      <w:r w:rsidRPr="003204D6">
        <w:t>work</w:t>
      </w:r>
      <w:proofErr w:type="gramEnd"/>
      <w:r w:rsidRPr="003204D6">
        <w:t xml:space="preserve"> and relax. All development should demonstrate that its design:</w:t>
      </w:r>
    </w:p>
    <w:p w14:paraId="05D1F4B4" w14:textId="77777777" w:rsidR="00EB0CE7" w:rsidRDefault="00EB0CE7" w:rsidP="00EB0CE7">
      <w:pPr>
        <w:jc w:val="both"/>
      </w:pPr>
      <w:r w:rsidRPr="003204D6">
        <w:t xml:space="preserve">Identifies and responds positively to existing features of natural, </w:t>
      </w:r>
      <w:proofErr w:type="gramStart"/>
      <w:r w:rsidRPr="003204D6">
        <w:t>historic</w:t>
      </w:r>
      <w:proofErr w:type="gramEnd"/>
      <w:r w:rsidRPr="003204D6">
        <w:t xml:space="preserve"> or local character within or close to the proposed development site</w:t>
      </w:r>
      <w:r>
        <w:t>”</w:t>
      </w:r>
      <w:r w:rsidRPr="003204D6">
        <w:t>.</w:t>
      </w:r>
    </w:p>
    <w:p w14:paraId="62A548FF" w14:textId="77777777" w:rsidR="00EB0CE7" w:rsidRPr="00673AA1" w:rsidRDefault="00EB0CE7" w:rsidP="00EB0CE7">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9EE53E5"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471582A9"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F425AA6"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4F9C5032" w14:textId="77777777" w:rsidR="00EB0CE7" w:rsidRPr="00673AA1" w:rsidRDefault="00EB0CE7" w:rsidP="00EB0CE7">
      <w:pPr>
        <w:autoSpaceDE w:val="0"/>
        <w:autoSpaceDN w:val="0"/>
        <w:adjustRightInd w:val="0"/>
        <w:spacing w:after="0" w:line="240" w:lineRule="auto"/>
        <w:rPr>
          <w:rFonts w:cs="Arial"/>
          <w:bCs/>
        </w:rPr>
      </w:pPr>
    </w:p>
    <w:p w14:paraId="3ABD695A"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0F7F7DB6"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290664B1" w14:textId="77777777" w:rsidR="00EB0CE7" w:rsidRDefault="00EB0CE7" w:rsidP="00EB0CE7">
      <w:pPr>
        <w:rPr>
          <w:rFonts w:cs="Arial"/>
          <w:bCs/>
        </w:rPr>
      </w:pPr>
      <w:r w:rsidRPr="00673AA1">
        <w:rPr>
          <w:rFonts w:cs="Arial"/>
          <w:bCs/>
        </w:rPr>
        <w:t>where possible positive opportunities to conserve and enjoy heritage assets.</w:t>
      </w:r>
    </w:p>
    <w:p w14:paraId="423AC710" w14:textId="716B7BA6"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t xml:space="preserve">Assessment </w:t>
      </w:r>
    </w:p>
    <w:p w14:paraId="43737DD3" w14:textId="40AEDE7F" w:rsidR="004D229A" w:rsidRDefault="004D229A" w:rsidP="00584600">
      <w:pPr>
        <w:pStyle w:val="Default"/>
        <w:jc w:val="both"/>
        <w:rPr>
          <w:rFonts w:asciiTheme="minorHAnsi" w:hAnsiTheme="minorHAnsi" w:cstheme="minorHAnsi"/>
          <w:b/>
          <w:bCs/>
          <w:sz w:val="22"/>
          <w:szCs w:val="22"/>
          <w:u w:val="single"/>
        </w:rPr>
      </w:pPr>
    </w:p>
    <w:p w14:paraId="0F9A759F" w14:textId="46BC6C5B" w:rsidR="004D229A" w:rsidRPr="004D229A" w:rsidRDefault="004D229A" w:rsidP="00584600">
      <w:pPr>
        <w:pStyle w:val="Default"/>
        <w:jc w:val="both"/>
        <w:rPr>
          <w:rFonts w:asciiTheme="minorHAnsi" w:hAnsiTheme="minorHAnsi" w:cstheme="minorHAnsi"/>
          <w:sz w:val="22"/>
          <w:szCs w:val="22"/>
        </w:rPr>
      </w:pPr>
      <w:r>
        <w:rPr>
          <w:rFonts w:asciiTheme="minorHAnsi" w:hAnsiTheme="minorHAnsi" w:cstheme="minorHAnsi"/>
          <w:sz w:val="22"/>
          <w:szCs w:val="22"/>
        </w:rPr>
        <w:t xml:space="preserve">A structural assessment of the wall was carried out as the wall appears to be leaning inwards towards the car park. The wall was found to be at risk of failure and therefore a safety risk. </w:t>
      </w:r>
      <w:r w:rsidR="00231932">
        <w:rPr>
          <w:rFonts w:asciiTheme="minorHAnsi" w:hAnsiTheme="minorHAnsi" w:cstheme="minorHAnsi"/>
          <w:sz w:val="22"/>
          <w:szCs w:val="22"/>
        </w:rPr>
        <w:t xml:space="preserve">Rather than replace the wall, a solution is being proposed which reinforces the support of the wall from the car park side, via 4no. brick buttresses. These would be 450mm in height in matching brickwork. There are some existing timbers are ironwork which have historically been used to support the wall however, these are now being removed. </w:t>
      </w:r>
    </w:p>
    <w:p w14:paraId="237904A7" w14:textId="4595C3FD" w:rsidR="0014137A" w:rsidRDefault="0014137A" w:rsidP="00584600">
      <w:pPr>
        <w:pStyle w:val="Default"/>
        <w:jc w:val="both"/>
        <w:rPr>
          <w:rFonts w:asciiTheme="minorHAnsi" w:hAnsiTheme="minorHAnsi" w:cstheme="minorHAnsi"/>
          <w:b/>
          <w:bCs/>
          <w:sz w:val="22"/>
          <w:szCs w:val="22"/>
          <w:u w:val="single"/>
        </w:rPr>
      </w:pPr>
    </w:p>
    <w:p w14:paraId="09CE55BD" w14:textId="77777777" w:rsidR="00231932" w:rsidRDefault="00231932" w:rsidP="004D229A">
      <w:pPr>
        <w:pStyle w:val="Default"/>
        <w:jc w:val="both"/>
        <w:rPr>
          <w:rFonts w:asciiTheme="minorHAnsi" w:hAnsiTheme="minorHAnsi" w:cstheme="minorHAnsi"/>
          <w:sz w:val="22"/>
          <w:szCs w:val="22"/>
        </w:rPr>
      </w:pPr>
      <w:r w:rsidRPr="00231932">
        <w:rPr>
          <w:rFonts w:asciiTheme="minorHAnsi" w:hAnsiTheme="minorHAnsi" w:cstheme="minorHAnsi"/>
          <w:sz w:val="22"/>
          <w:szCs w:val="22"/>
        </w:rPr>
        <w:t xml:space="preserve">Overall, it is considered that the proposal is a sensitive solution which will retain the existing historic wall and </w:t>
      </w:r>
      <w:r>
        <w:rPr>
          <w:rFonts w:asciiTheme="minorHAnsi" w:hAnsiTheme="minorHAnsi" w:cstheme="minorHAnsi"/>
          <w:sz w:val="22"/>
          <w:szCs w:val="22"/>
        </w:rPr>
        <w:t xml:space="preserve">result in negligible harm to both the hertiage asset and the conservation area. </w:t>
      </w:r>
    </w:p>
    <w:p w14:paraId="02AEF3E2" w14:textId="4BBBF6A5" w:rsidR="00673AA1" w:rsidRDefault="00CD2C28" w:rsidP="004D229A">
      <w:pPr>
        <w:pStyle w:val="Default"/>
        <w:jc w:val="both"/>
        <w:rPr>
          <w:rFonts w:asciiTheme="minorHAnsi" w:hAnsiTheme="minorHAnsi" w:cstheme="minorHAnsi"/>
          <w:b/>
          <w:bCs/>
          <w:sz w:val="22"/>
          <w:szCs w:val="22"/>
          <w:u w:val="single"/>
        </w:rPr>
      </w:pPr>
      <w:r w:rsidRPr="00CD2C28">
        <w:rPr>
          <w:rFonts w:asciiTheme="minorHAnsi" w:hAnsiTheme="minorHAnsi" w:cstheme="minorHAnsi"/>
          <w:b/>
          <w:bCs/>
          <w:sz w:val="22"/>
          <w:szCs w:val="22"/>
          <w:u w:val="single"/>
        </w:rPr>
        <w:lastRenderedPageBreak/>
        <w:t xml:space="preserve">Conclusion </w:t>
      </w:r>
    </w:p>
    <w:p w14:paraId="04F2009F" w14:textId="530E7DB9" w:rsidR="00231932" w:rsidRDefault="00231932" w:rsidP="004D229A">
      <w:pPr>
        <w:pStyle w:val="Default"/>
        <w:jc w:val="both"/>
        <w:rPr>
          <w:rFonts w:asciiTheme="minorHAnsi" w:hAnsiTheme="minorHAnsi" w:cstheme="minorHAnsi"/>
          <w:b/>
          <w:bCs/>
          <w:sz w:val="22"/>
          <w:szCs w:val="22"/>
          <w:u w:val="single"/>
        </w:rPr>
      </w:pPr>
    </w:p>
    <w:p w14:paraId="6DF9F141" w14:textId="3693F336" w:rsidR="00231932" w:rsidRPr="00231932" w:rsidRDefault="00231932" w:rsidP="004D229A">
      <w:pPr>
        <w:pStyle w:val="Default"/>
        <w:jc w:val="both"/>
        <w:rPr>
          <w:rFonts w:asciiTheme="minorHAnsi" w:hAnsiTheme="minorHAnsi" w:cstheme="minorHAnsi"/>
          <w:sz w:val="22"/>
          <w:szCs w:val="22"/>
        </w:rPr>
      </w:pPr>
      <w:r w:rsidRPr="00231932">
        <w:rPr>
          <w:rFonts w:asciiTheme="minorHAnsi" w:hAnsiTheme="minorHAnsi" w:cstheme="minorHAnsi"/>
          <w:sz w:val="22"/>
          <w:szCs w:val="22"/>
        </w:rPr>
        <w:t xml:space="preserve">No objection subject to a condition requesting that brick and mortar samples / details be submitted and agreed prior to construction. </w:t>
      </w:r>
    </w:p>
    <w:sectPr w:rsidR="00231932" w:rsidRPr="002319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7A6FFF"/>
    <w:multiLevelType w:val="hybridMultilevel"/>
    <w:tmpl w:val="7EFE5C74"/>
    <w:lvl w:ilvl="0" w:tplc="1A0A647C">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402874F0"/>
    <w:multiLevelType w:val="hybridMultilevel"/>
    <w:tmpl w:val="D158A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3A3C25"/>
    <w:multiLevelType w:val="hybridMultilevel"/>
    <w:tmpl w:val="5A386CCA"/>
    <w:lvl w:ilvl="0" w:tplc="1EB2E9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920F85"/>
    <w:multiLevelType w:val="hybridMultilevel"/>
    <w:tmpl w:val="3AF67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9464CB"/>
    <w:multiLevelType w:val="hybridMultilevel"/>
    <w:tmpl w:val="B6F45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DF0D6F"/>
    <w:multiLevelType w:val="hybridMultilevel"/>
    <w:tmpl w:val="A60EE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402165"/>
    <w:multiLevelType w:val="hybridMultilevel"/>
    <w:tmpl w:val="AE86EC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38577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565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527587">
    <w:abstractNumId w:val="4"/>
  </w:num>
  <w:num w:numId="4" w16cid:durableId="46271611">
    <w:abstractNumId w:val="3"/>
  </w:num>
  <w:num w:numId="5" w16cid:durableId="1641837736">
    <w:abstractNumId w:val="2"/>
  </w:num>
  <w:num w:numId="6" w16cid:durableId="1992976794">
    <w:abstractNumId w:val="7"/>
  </w:num>
  <w:num w:numId="7" w16cid:durableId="1587104974">
    <w:abstractNumId w:val="10"/>
  </w:num>
  <w:num w:numId="8" w16cid:durableId="1680085885">
    <w:abstractNumId w:val="9"/>
  </w:num>
  <w:num w:numId="9" w16cid:durableId="322659894">
    <w:abstractNumId w:val="8"/>
  </w:num>
  <w:num w:numId="10" w16cid:durableId="615723118">
    <w:abstractNumId w:val="6"/>
  </w:num>
  <w:num w:numId="11" w16cid:durableId="1393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7396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4137A"/>
    <w:rsid w:val="001B0358"/>
    <w:rsid w:val="001C3AF7"/>
    <w:rsid w:val="00231932"/>
    <w:rsid w:val="00272D95"/>
    <w:rsid w:val="00280006"/>
    <w:rsid w:val="002B284B"/>
    <w:rsid w:val="002B3D0D"/>
    <w:rsid w:val="00332A3A"/>
    <w:rsid w:val="00361FE7"/>
    <w:rsid w:val="00376316"/>
    <w:rsid w:val="00391792"/>
    <w:rsid w:val="003F25F0"/>
    <w:rsid w:val="003F76FA"/>
    <w:rsid w:val="00440348"/>
    <w:rsid w:val="004542E1"/>
    <w:rsid w:val="004D229A"/>
    <w:rsid w:val="004F6F64"/>
    <w:rsid w:val="00512EFE"/>
    <w:rsid w:val="00584600"/>
    <w:rsid w:val="00624647"/>
    <w:rsid w:val="006616EE"/>
    <w:rsid w:val="00673AA1"/>
    <w:rsid w:val="0069659F"/>
    <w:rsid w:val="006A025E"/>
    <w:rsid w:val="006A54BC"/>
    <w:rsid w:val="006B5B64"/>
    <w:rsid w:val="006C39C8"/>
    <w:rsid w:val="007526F0"/>
    <w:rsid w:val="00787154"/>
    <w:rsid w:val="0079447F"/>
    <w:rsid w:val="00824AEA"/>
    <w:rsid w:val="00852456"/>
    <w:rsid w:val="008A4C04"/>
    <w:rsid w:val="00930C2D"/>
    <w:rsid w:val="009327D6"/>
    <w:rsid w:val="009331BA"/>
    <w:rsid w:val="0094377D"/>
    <w:rsid w:val="00980463"/>
    <w:rsid w:val="00984F41"/>
    <w:rsid w:val="009946D8"/>
    <w:rsid w:val="009A1120"/>
    <w:rsid w:val="00A07297"/>
    <w:rsid w:val="00A54386"/>
    <w:rsid w:val="00A94DC2"/>
    <w:rsid w:val="00AB323F"/>
    <w:rsid w:val="00AB4AFA"/>
    <w:rsid w:val="00AD3C5F"/>
    <w:rsid w:val="00AD5038"/>
    <w:rsid w:val="00B32D3E"/>
    <w:rsid w:val="00B42C4C"/>
    <w:rsid w:val="00B82954"/>
    <w:rsid w:val="00BE1F2E"/>
    <w:rsid w:val="00BE59F6"/>
    <w:rsid w:val="00BF67AB"/>
    <w:rsid w:val="00C02690"/>
    <w:rsid w:val="00C05141"/>
    <w:rsid w:val="00C11393"/>
    <w:rsid w:val="00CA11A3"/>
    <w:rsid w:val="00CD2C28"/>
    <w:rsid w:val="00CD4C97"/>
    <w:rsid w:val="00CE4CC6"/>
    <w:rsid w:val="00D10755"/>
    <w:rsid w:val="00D60C49"/>
    <w:rsid w:val="00DC491A"/>
    <w:rsid w:val="00DD38FB"/>
    <w:rsid w:val="00E1024C"/>
    <w:rsid w:val="00E236AF"/>
    <w:rsid w:val="00E307EA"/>
    <w:rsid w:val="00E31470"/>
    <w:rsid w:val="00E31B3A"/>
    <w:rsid w:val="00E35E0D"/>
    <w:rsid w:val="00E523F2"/>
    <w:rsid w:val="00EA43A9"/>
    <w:rsid w:val="00EB0CE7"/>
    <w:rsid w:val="00EC2AF6"/>
    <w:rsid w:val="00F45927"/>
    <w:rsid w:val="00F91CAF"/>
    <w:rsid w:val="00F91FE6"/>
    <w:rsid w:val="00FE2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2023-02-20T14:23:00Z</dcterms:created>
  <dcterms:modified xsi:type="dcterms:W3CDTF">2023-02-20T14:23:00Z</dcterms:modified>
</cp:coreProperties>
</file>