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A39A3" w14:textId="785BEEA3" w:rsidR="00C6557A" w:rsidRDefault="008A4058" w:rsidP="00B35C8A">
      <w:pPr>
        <w:autoSpaceDE w:val="0"/>
        <w:autoSpaceDN w:val="0"/>
        <w:adjustRightInd w:val="0"/>
        <w:spacing w:after="0" w:line="240" w:lineRule="auto"/>
        <w:rPr>
          <w:rFonts w:ascii="Arial" w:eastAsia="ArialMT" w:hAnsi="Arial" w:cs="Arial"/>
          <w:b/>
          <w:bCs/>
          <w:color w:val="000000"/>
        </w:rPr>
      </w:pPr>
      <w:r>
        <w:rPr>
          <w:rFonts w:ascii="Arial" w:eastAsia="ArialMT" w:hAnsi="Arial" w:cs="Arial"/>
          <w:b/>
          <w:bCs/>
          <w:color w:val="000000"/>
        </w:rPr>
        <w:t>APP/22/01231</w:t>
      </w:r>
      <w:r w:rsidR="008F033F">
        <w:rPr>
          <w:rFonts w:ascii="Arial" w:eastAsia="ArialMT" w:hAnsi="Arial" w:cs="Arial"/>
          <w:b/>
          <w:bCs/>
          <w:color w:val="000000"/>
        </w:rPr>
        <w:t xml:space="preserve"> </w:t>
      </w:r>
      <w:r w:rsidR="00EC058A" w:rsidRPr="00EC058A">
        <w:rPr>
          <w:rFonts w:ascii="Arial" w:eastAsia="ArialMT" w:hAnsi="Arial" w:cs="Arial"/>
          <w:b/>
          <w:bCs/>
          <w:color w:val="000000"/>
        </w:rPr>
        <w:t>Land at, Palk Road, Havant</w:t>
      </w:r>
    </w:p>
    <w:p w14:paraId="4B925297" w14:textId="77777777" w:rsidR="00EC058A" w:rsidRDefault="00EC058A" w:rsidP="00B35C8A">
      <w:pPr>
        <w:autoSpaceDE w:val="0"/>
        <w:autoSpaceDN w:val="0"/>
        <w:adjustRightInd w:val="0"/>
        <w:spacing w:after="0" w:line="240" w:lineRule="auto"/>
        <w:rPr>
          <w:rFonts w:ascii="Arial" w:hAnsi="Arial" w:cs="Arial"/>
        </w:rPr>
      </w:pPr>
    </w:p>
    <w:p w14:paraId="6549A0D2" w14:textId="77777777" w:rsidR="008A4058" w:rsidRPr="008A4058" w:rsidRDefault="008A4058" w:rsidP="008A4058">
      <w:pPr>
        <w:autoSpaceDE w:val="0"/>
        <w:autoSpaceDN w:val="0"/>
        <w:adjustRightInd w:val="0"/>
        <w:spacing w:after="0" w:line="240" w:lineRule="auto"/>
        <w:rPr>
          <w:rFonts w:ascii="Arial" w:hAnsi="Arial" w:cs="Arial"/>
        </w:rPr>
      </w:pPr>
      <w:r w:rsidRPr="008A4058">
        <w:rPr>
          <w:rFonts w:ascii="Arial" w:hAnsi="Arial" w:cs="Arial"/>
        </w:rPr>
        <w:t>Redevelopment of a brownfield site to include the provision of 4No. Apartment blocks comprising of 90No. residential dwellings (including 27 affordable units) (Use class C3 residential), parking, public open space, landscaping and other associated works, including demolition of existing buildings on site, with access from Palk Road</w:t>
      </w:r>
    </w:p>
    <w:p w14:paraId="6B627EF6" w14:textId="38FD3792" w:rsidR="00CF7E4A" w:rsidRDefault="00CF7E4A" w:rsidP="008C65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MT" w:eastAsia="ArialMT"/>
          <w:color w:val="000000"/>
        </w:rPr>
      </w:pPr>
    </w:p>
    <w:p w14:paraId="4C91E9FE" w14:textId="77777777" w:rsidR="00EC058A" w:rsidRPr="00A51637" w:rsidRDefault="00EC058A" w:rsidP="008C65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14:paraId="068097ED" w14:textId="1658C84D" w:rsidR="008C6592" w:rsidRDefault="008C6592" w:rsidP="008C6592">
      <w:pPr>
        <w:rPr>
          <w:rFonts w:ascii="Arial" w:hAnsi="Arial" w:cs="Arial"/>
          <w:b/>
        </w:rPr>
      </w:pPr>
      <w:r w:rsidRPr="00A51637">
        <w:rPr>
          <w:rFonts w:ascii="Arial" w:hAnsi="Arial" w:cs="Arial"/>
          <w:b/>
        </w:rPr>
        <w:t xml:space="preserve">Comments - HBC </w:t>
      </w:r>
      <w:r w:rsidR="008A4058">
        <w:rPr>
          <w:rFonts w:ascii="Arial" w:hAnsi="Arial" w:cs="Arial"/>
          <w:b/>
        </w:rPr>
        <w:t>Developer Contributions</w:t>
      </w:r>
    </w:p>
    <w:p w14:paraId="0E7276BF" w14:textId="77777777" w:rsidR="005B56A3" w:rsidRPr="008F39B7" w:rsidRDefault="005B56A3" w:rsidP="005B56A3">
      <w:pPr>
        <w:autoSpaceDE w:val="0"/>
        <w:autoSpaceDN w:val="0"/>
        <w:adjustRightInd w:val="0"/>
        <w:spacing w:after="0" w:line="240" w:lineRule="auto"/>
        <w:rPr>
          <w:rFonts w:ascii="Arial" w:hAnsi="Arial" w:cs="Arial"/>
          <w:b/>
          <w:u w:val="single"/>
        </w:rPr>
      </w:pPr>
      <w:r w:rsidRPr="008F39B7">
        <w:rPr>
          <w:rFonts w:ascii="Arial" w:hAnsi="Arial" w:cs="Arial"/>
          <w:b/>
          <w:u w:val="single"/>
        </w:rPr>
        <w:t>CIL</w:t>
      </w:r>
    </w:p>
    <w:p w14:paraId="5842476A" w14:textId="77777777" w:rsidR="005B56A3" w:rsidRPr="008F39B7" w:rsidRDefault="005B56A3" w:rsidP="005B56A3">
      <w:pPr>
        <w:autoSpaceDE w:val="0"/>
        <w:autoSpaceDN w:val="0"/>
        <w:adjustRightInd w:val="0"/>
        <w:spacing w:after="0" w:line="240" w:lineRule="auto"/>
        <w:rPr>
          <w:rFonts w:ascii="Arial" w:hAnsi="Arial" w:cs="Arial"/>
          <w:b/>
        </w:rPr>
      </w:pPr>
    </w:p>
    <w:p w14:paraId="6CB244CB" w14:textId="77777777" w:rsidR="00036255" w:rsidRDefault="00036255" w:rsidP="00036255">
      <w:pPr>
        <w:rPr>
          <w:rStyle w:val="Hyperlink"/>
          <w:rFonts w:ascii="Arial" w:hAnsi="Arial" w:cs="Arial"/>
          <w:color w:val="auto"/>
        </w:rPr>
      </w:pPr>
      <w:r>
        <w:rPr>
          <w:rFonts w:ascii="Arial" w:hAnsi="Arial" w:cs="Arial"/>
        </w:rPr>
        <w:t>The dwellings are</w:t>
      </w:r>
      <w:r>
        <w:rPr>
          <w:rFonts w:ascii="Arial" w:hAnsi="Arial" w:cs="Arial"/>
          <w:b/>
        </w:rPr>
        <w:t xml:space="preserve"> </w:t>
      </w:r>
      <w:r>
        <w:rPr>
          <w:rFonts w:ascii="Arial" w:hAnsi="Arial" w:cs="Arial"/>
        </w:rPr>
        <w:t xml:space="preserve">CIL Liable, in accordance with our CIL Charging Schedule: </w:t>
      </w:r>
      <w:hyperlink r:id="rId7" w:history="1">
        <w:r>
          <w:rPr>
            <w:rStyle w:val="Hyperlink"/>
            <w:rFonts w:ascii="Arial" w:hAnsi="Arial" w:cs="Arial"/>
            <w:color w:val="auto"/>
          </w:rPr>
          <w:t>http://www.havant.gov.uk/sites/default/files/documents/HBC%20CIL%20Charging%20Schedule%20Full%20Document%20Feb%202013.pdf</w:t>
        </w:r>
      </w:hyperlink>
    </w:p>
    <w:p w14:paraId="0E062054" w14:textId="7349B946" w:rsidR="00036255" w:rsidRPr="00CA54E0" w:rsidRDefault="00036255" w:rsidP="00036255">
      <w:pPr>
        <w:spacing w:line="240" w:lineRule="auto"/>
      </w:pPr>
      <w:r w:rsidRPr="00CA54E0">
        <w:rPr>
          <w:rFonts w:ascii="Arial" w:hAnsi="Arial" w:cs="Arial"/>
        </w:rPr>
        <w:t xml:space="preserve">The amounts in the Charging Schedule are indexed according to the year in which permission is issued, if a permission is issued in 2023 the amount of indexation would be </w:t>
      </w:r>
      <w:r w:rsidR="00CA54E0" w:rsidRPr="00CA54E0">
        <w:rPr>
          <w:rFonts w:ascii="Arial" w:hAnsi="Arial" w:cs="Arial"/>
        </w:rPr>
        <w:t>58.48%</w:t>
      </w:r>
      <w:r w:rsidR="00CA54E0" w:rsidRPr="00CA54E0">
        <w:rPr>
          <w:rFonts w:ascii="Arial" w:hAnsi="Arial" w:cs="Arial"/>
        </w:rPr>
        <w:t xml:space="preserve">. </w:t>
      </w:r>
      <w:r w:rsidRPr="00CA54E0">
        <w:rPr>
          <w:rFonts w:ascii="Arial" w:hAnsi="Arial" w:cs="Arial"/>
        </w:rPr>
        <w:t xml:space="preserve">This could vary if permission is issued in 2024. </w:t>
      </w:r>
    </w:p>
    <w:p w14:paraId="1C12DE4E" w14:textId="597FCD4C" w:rsidR="00036255" w:rsidRPr="00CA54E0" w:rsidRDefault="00036255" w:rsidP="00036255">
      <w:pPr>
        <w:rPr>
          <w:rStyle w:val="Hyperlink"/>
          <w:color w:val="auto"/>
          <w:u w:val="none"/>
        </w:rPr>
      </w:pPr>
      <w:r w:rsidRPr="00CA54E0">
        <w:rPr>
          <w:rStyle w:val="Hyperlink"/>
          <w:rFonts w:ascii="Arial" w:hAnsi="Arial" w:cs="Arial"/>
          <w:color w:val="auto"/>
          <w:u w:val="none"/>
        </w:rPr>
        <w:t>We have been provided with an updated Schedule of Accommodation and are calculating the CIL Liability.</w:t>
      </w:r>
    </w:p>
    <w:p w14:paraId="1AE71B1F" w14:textId="5D127F9C" w:rsidR="00036255" w:rsidRDefault="00CA54E0" w:rsidP="00036255">
      <w:pPr>
        <w:rPr>
          <w:u w:val="single"/>
        </w:rPr>
      </w:pPr>
      <w:r>
        <w:rPr>
          <w:rFonts w:ascii="Arial" w:hAnsi="Arial" w:cs="Arial"/>
        </w:rPr>
        <w:t xml:space="preserve">We have also received </w:t>
      </w:r>
      <w:r w:rsidR="00036255">
        <w:rPr>
          <w:rFonts w:ascii="Arial" w:hAnsi="Arial" w:cs="Arial"/>
        </w:rPr>
        <w:t>CIL Form 10: Charitable and/or Social Housing Relief Claim Form</w:t>
      </w:r>
      <w:r>
        <w:rPr>
          <w:rFonts w:ascii="Arial" w:hAnsi="Arial" w:cs="Arial"/>
        </w:rPr>
        <w:t>.</w:t>
      </w:r>
    </w:p>
    <w:p w14:paraId="2F08445D" w14:textId="77777777" w:rsidR="00036255" w:rsidRDefault="00036255" w:rsidP="00036255">
      <w:pPr>
        <w:rPr>
          <w:rStyle w:val="Hyperlink"/>
          <w:color w:val="auto"/>
          <w:u w:val="none"/>
        </w:rPr>
      </w:pPr>
      <w:r>
        <w:rPr>
          <w:rFonts w:ascii="Arial" w:hAnsi="Arial" w:cs="Arial"/>
        </w:rPr>
        <w:t>Further information on CIL including relief in respect of affordable housing can be found on the Planning Portal</w:t>
      </w:r>
      <w:r>
        <w:rPr>
          <w:rStyle w:val="Hyperlink"/>
          <w:rFonts w:ascii="Arial" w:hAnsi="Arial" w:cs="Arial"/>
          <w:color w:val="auto"/>
          <w:u w:val="none"/>
        </w:rPr>
        <w:t>.</w:t>
      </w:r>
    </w:p>
    <w:p w14:paraId="28DE2BF6" w14:textId="3EFAC8E3" w:rsidR="00CE0900" w:rsidRDefault="00E76B57" w:rsidP="00CA54E0">
      <w:pPr>
        <w:pStyle w:val="NormalWeb"/>
        <w:shd w:val="clear" w:color="auto" w:fill="FFFFFF"/>
        <w:spacing w:before="0" w:beforeAutospacing="0" w:after="0" w:afterAutospacing="0"/>
        <w:rPr>
          <w:rStyle w:val="Hyperlink"/>
          <w:rFonts w:ascii="Arial" w:hAnsi="Arial" w:cs="Arial"/>
          <w:color w:val="auto"/>
          <w:sz w:val="22"/>
          <w:szCs w:val="22"/>
          <w:u w:val="none"/>
        </w:rPr>
      </w:pPr>
      <w:r>
        <w:rPr>
          <w:rStyle w:val="Hyperlink"/>
          <w:rFonts w:ascii="Arial" w:hAnsi="Arial" w:cs="Arial"/>
          <w:color w:val="auto"/>
          <w:sz w:val="22"/>
          <w:szCs w:val="22"/>
          <w:u w:val="none"/>
        </w:rPr>
        <w:t>Please note t</w:t>
      </w:r>
      <w:r w:rsidR="00CE0900" w:rsidRPr="001B2B6E">
        <w:rPr>
          <w:rStyle w:val="Hyperlink"/>
          <w:rFonts w:ascii="Arial" w:hAnsi="Arial" w:cs="Arial"/>
          <w:color w:val="auto"/>
          <w:sz w:val="22"/>
          <w:szCs w:val="22"/>
          <w:u w:val="none"/>
        </w:rPr>
        <w:t>he current CIL Charging Schedule in under review</w:t>
      </w:r>
      <w:r w:rsidR="00EC058A">
        <w:rPr>
          <w:rStyle w:val="Hyperlink"/>
          <w:rFonts w:ascii="Arial" w:hAnsi="Arial" w:cs="Arial"/>
          <w:color w:val="auto"/>
          <w:sz w:val="22"/>
          <w:szCs w:val="22"/>
          <w:u w:val="none"/>
        </w:rPr>
        <w:t>.</w:t>
      </w:r>
    </w:p>
    <w:p w14:paraId="35F98482" w14:textId="77777777" w:rsidR="00CA54E0" w:rsidRDefault="00CA54E0" w:rsidP="00CA54E0">
      <w:pPr>
        <w:pStyle w:val="NormalWeb"/>
        <w:shd w:val="clear" w:color="auto" w:fill="FFFFFF"/>
        <w:spacing w:before="0" w:beforeAutospacing="0" w:after="0" w:afterAutospacing="0"/>
        <w:rPr>
          <w:rStyle w:val="Hyperlink"/>
          <w:rFonts w:ascii="Arial" w:hAnsi="Arial" w:cs="Arial"/>
          <w:color w:val="auto"/>
        </w:rPr>
      </w:pPr>
    </w:p>
    <w:p w14:paraId="26944938" w14:textId="0554D454" w:rsidR="00AF57BE" w:rsidRDefault="00AF57BE" w:rsidP="00FC370C">
      <w:pPr>
        <w:rPr>
          <w:rStyle w:val="Hyperlink"/>
          <w:rFonts w:ascii="Arial" w:hAnsi="Arial" w:cs="Arial"/>
          <w:b/>
          <w:color w:val="auto"/>
        </w:rPr>
      </w:pPr>
      <w:r w:rsidRPr="00AF57BE">
        <w:rPr>
          <w:rStyle w:val="Hyperlink"/>
          <w:rFonts w:ascii="Arial" w:hAnsi="Arial" w:cs="Arial"/>
          <w:b/>
          <w:color w:val="auto"/>
        </w:rPr>
        <w:t>S106</w:t>
      </w:r>
    </w:p>
    <w:p w14:paraId="0DE4E2A4" w14:textId="378CB4EC" w:rsidR="005B56A3" w:rsidRPr="00B81B00" w:rsidRDefault="00EC058A" w:rsidP="003C6C6F">
      <w:pPr>
        <w:rPr>
          <w:rFonts w:ascii="Arial" w:hAnsi="Arial" w:cs="Arial"/>
          <w:b/>
        </w:rPr>
      </w:pPr>
      <w:r>
        <w:rPr>
          <w:rFonts w:ascii="Arial" w:hAnsi="Arial" w:cs="Arial"/>
          <w:bCs/>
        </w:rPr>
        <w:t>S</w:t>
      </w:r>
      <w:r w:rsidR="005B56A3" w:rsidRPr="00AE37F0">
        <w:rPr>
          <w:rFonts w:ascii="Arial" w:hAnsi="Arial" w:cs="Arial"/>
        </w:rPr>
        <w:t>ubject to statutory consultee responses we would expect the S106 to include (amongst any other site</w:t>
      </w:r>
      <w:r w:rsidR="00A328B9">
        <w:rPr>
          <w:rFonts w:ascii="Arial" w:hAnsi="Arial" w:cs="Arial"/>
        </w:rPr>
        <w:t>-</w:t>
      </w:r>
      <w:r w:rsidR="005B56A3" w:rsidRPr="00AE37F0">
        <w:rPr>
          <w:rFonts w:ascii="Arial" w:hAnsi="Arial" w:cs="Arial"/>
        </w:rPr>
        <w:t>specific obligations necessary):</w:t>
      </w:r>
    </w:p>
    <w:p w14:paraId="20D76ED8" w14:textId="77777777" w:rsidR="005B56A3" w:rsidRPr="00B81B00" w:rsidRDefault="005B56A3" w:rsidP="005B56A3">
      <w:pPr>
        <w:pStyle w:val="ListParagraph"/>
        <w:numPr>
          <w:ilvl w:val="0"/>
          <w:numId w:val="1"/>
        </w:numPr>
        <w:rPr>
          <w:rFonts w:ascii="Arial" w:hAnsi="Arial" w:cs="Arial"/>
        </w:rPr>
      </w:pPr>
      <w:r w:rsidRPr="00B81B00">
        <w:rPr>
          <w:rFonts w:ascii="Arial" w:hAnsi="Arial" w:cs="Arial"/>
        </w:rPr>
        <w:t xml:space="preserve">Affordable Housing </w:t>
      </w:r>
    </w:p>
    <w:p w14:paraId="0D7A566B" w14:textId="77777777" w:rsidR="00A947CB" w:rsidRDefault="00A947CB" w:rsidP="00A947CB">
      <w:pPr>
        <w:pStyle w:val="ListParagraph"/>
        <w:numPr>
          <w:ilvl w:val="0"/>
          <w:numId w:val="1"/>
        </w:numPr>
        <w:rPr>
          <w:rFonts w:ascii="Arial" w:hAnsi="Arial" w:cs="Arial"/>
        </w:rPr>
      </w:pPr>
      <w:r>
        <w:rPr>
          <w:rFonts w:ascii="Arial" w:hAnsi="Arial" w:cs="Arial"/>
        </w:rPr>
        <w:t xml:space="preserve">HBC </w:t>
      </w:r>
      <w:r w:rsidRPr="00B5683D">
        <w:rPr>
          <w:rFonts w:ascii="Arial" w:hAnsi="Arial" w:cs="Arial"/>
        </w:rPr>
        <w:t>Monitoring Fees*</w:t>
      </w:r>
    </w:p>
    <w:p w14:paraId="2952080F" w14:textId="77777777" w:rsidR="00A947CB" w:rsidRPr="00B5683D" w:rsidRDefault="00A947CB" w:rsidP="00A947CB">
      <w:pPr>
        <w:pStyle w:val="ListParagraph"/>
        <w:numPr>
          <w:ilvl w:val="0"/>
          <w:numId w:val="1"/>
        </w:numPr>
        <w:rPr>
          <w:rFonts w:ascii="Arial" w:hAnsi="Arial" w:cs="Arial"/>
        </w:rPr>
      </w:pPr>
      <w:r>
        <w:rPr>
          <w:rFonts w:ascii="Arial" w:hAnsi="Arial" w:cs="Arial"/>
        </w:rPr>
        <w:t>HCC Monitoring Fees</w:t>
      </w:r>
    </w:p>
    <w:p w14:paraId="4398B62F" w14:textId="18A2CE4F" w:rsidR="005B56A3" w:rsidRPr="008D0653" w:rsidRDefault="005B56A3" w:rsidP="00D513B9">
      <w:pPr>
        <w:pStyle w:val="ListParagraph"/>
        <w:numPr>
          <w:ilvl w:val="0"/>
          <w:numId w:val="1"/>
        </w:numPr>
        <w:rPr>
          <w:rFonts w:ascii="Arial" w:hAnsi="Arial" w:cs="Arial"/>
        </w:rPr>
      </w:pPr>
      <w:r w:rsidRPr="008D0653">
        <w:rPr>
          <w:rFonts w:ascii="Arial" w:hAnsi="Arial" w:cs="Arial"/>
        </w:rPr>
        <w:t>Management Company</w:t>
      </w:r>
      <w:r w:rsidR="008D0653" w:rsidRPr="008D0653">
        <w:rPr>
          <w:rFonts w:ascii="Arial" w:hAnsi="Arial" w:cs="Arial"/>
        </w:rPr>
        <w:t xml:space="preserve"> and </w:t>
      </w:r>
      <w:r w:rsidRPr="008D0653">
        <w:rPr>
          <w:rFonts w:ascii="Arial" w:hAnsi="Arial" w:cs="Arial"/>
        </w:rPr>
        <w:t>Management Plan</w:t>
      </w:r>
      <w:r w:rsidR="004829B0" w:rsidRPr="008D0653">
        <w:rPr>
          <w:rFonts w:ascii="Arial" w:hAnsi="Arial" w:cs="Arial"/>
        </w:rPr>
        <w:t xml:space="preserve"> (may include SUDS)</w:t>
      </w:r>
    </w:p>
    <w:p w14:paraId="5491F906" w14:textId="371BA151" w:rsidR="005B56A3" w:rsidRDefault="005B56A3" w:rsidP="005B56A3">
      <w:pPr>
        <w:pStyle w:val="ListParagraph"/>
        <w:numPr>
          <w:ilvl w:val="0"/>
          <w:numId w:val="1"/>
        </w:numPr>
        <w:rPr>
          <w:rFonts w:ascii="Arial" w:hAnsi="Arial" w:cs="Arial"/>
        </w:rPr>
      </w:pPr>
      <w:r w:rsidRPr="00DE38F1">
        <w:rPr>
          <w:rFonts w:ascii="Arial" w:hAnsi="Arial" w:cs="Arial"/>
        </w:rPr>
        <w:t xml:space="preserve">Solent Recreation Mitigation Strategy (see further </w:t>
      </w:r>
      <w:proofErr w:type="gramStart"/>
      <w:r w:rsidRPr="00DE38F1">
        <w:rPr>
          <w:rFonts w:ascii="Arial" w:hAnsi="Arial" w:cs="Arial"/>
        </w:rPr>
        <w:t>information</w:t>
      </w:r>
      <w:r>
        <w:rPr>
          <w:rFonts w:ascii="Arial" w:hAnsi="Arial" w:cs="Arial"/>
        </w:rPr>
        <w:t>)*</w:t>
      </w:r>
      <w:proofErr w:type="gramEnd"/>
      <w:r>
        <w:rPr>
          <w:rFonts w:ascii="Arial" w:hAnsi="Arial" w:cs="Arial"/>
        </w:rPr>
        <w:t>*</w:t>
      </w:r>
      <w:r w:rsidRPr="00DE38F1">
        <w:rPr>
          <w:rFonts w:ascii="Arial" w:hAnsi="Arial" w:cs="Arial"/>
        </w:rPr>
        <w:t xml:space="preserve"> </w:t>
      </w:r>
    </w:p>
    <w:p w14:paraId="3A087086" w14:textId="0103E9BF" w:rsidR="00A328B9" w:rsidRDefault="00A328B9" w:rsidP="005B56A3">
      <w:pPr>
        <w:pStyle w:val="ListParagraph"/>
        <w:numPr>
          <w:ilvl w:val="0"/>
          <w:numId w:val="1"/>
        </w:numPr>
        <w:rPr>
          <w:rFonts w:ascii="Arial" w:hAnsi="Arial" w:cs="Arial"/>
        </w:rPr>
      </w:pPr>
      <w:r>
        <w:rPr>
          <w:rFonts w:ascii="Arial" w:hAnsi="Arial" w:cs="Arial"/>
        </w:rPr>
        <w:t>Nutrient</w:t>
      </w:r>
      <w:r w:rsidR="00B01433">
        <w:rPr>
          <w:rFonts w:ascii="Arial" w:hAnsi="Arial" w:cs="Arial"/>
        </w:rPr>
        <w:t xml:space="preserve"> </w:t>
      </w:r>
      <w:r w:rsidR="00B01433" w:rsidRPr="00203F2A">
        <w:rPr>
          <w:rFonts w:ascii="Arial" w:hAnsi="Arial" w:cs="Arial"/>
        </w:rPr>
        <w:t>Neutrality</w:t>
      </w:r>
      <w:r w:rsidR="001F63C6">
        <w:rPr>
          <w:rFonts w:ascii="Arial" w:hAnsi="Arial" w:cs="Arial"/>
        </w:rPr>
        <w:t xml:space="preserve"> </w:t>
      </w:r>
      <w:r w:rsidR="00285AFB">
        <w:rPr>
          <w:rFonts w:ascii="Arial" w:hAnsi="Arial" w:cs="Arial"/>
        </w:rPr>
        <w:t xml:space="preserve">- </w:t>
      </w:r>
      <w:r w:rsidR="0048469D" w:rsidRPr="00203F2A">
        <w:rPr>
          <w:rFonts w:ascii="Arial" w:hAnsi="Arial" w:cs="Arial"/>
        </w:rPr>
        <w:t xml:space="preserve">if it is not possible to fully mitigate the scheme’s impact on site, the applicant will need to find a mitigation scheme. The details of schemes have been published on the Partnership for South Hampshire’s website at </w:t>
      </w:r>
      <w:hyperlink r:id="rId8" w:history="1">
        <w:r w:rsidR="0048469D" w:rsidRPr="00203F2A">
          <w:rPr>
            <w:rStyle w:val="Hyperlink"/>
            <w:rFonts w:ascii="Arial" w:hAnsi="Arial" w:cs="Arial"/>
            <w:color w:val="auto"/>
          </w:rPr>
          <w:t>https://www.push.gov.uk/work/mitig</w:t>
        </w:r>
        <w:r w:rsidR="0048469D" w:rsidRPr="00203F2A">
          <w:rPr>
            <w:rStyle w:val="Hyperlink"/>
            <w:rFonts w:ascii="Arial" w:hAnsi="Arial" w:cs="Arial"/>
            <w:color w:val="auto"/>
          </w:rPr>
          <w:t>a</w:t>
        </w:r>
        <w:r w:rsidR="0048469D" w:rsidRPr="00203F2A">
          <w:rPr>
            <w:rStyle w:val="Hyperlink"/>
            <w:rFonts w:ascii="Arial" w:hAnsi="Arial" w:cs="Arial"/>
            <w:color w:val="auto"/>
          </w:rPr>
          <w:t>tion-schemes-available-to-developers/</w:t>
        </w:r>
      </w:hyperlink>
    </w:p>
    <w:p w14:paraId="5335701A" w14:textId="77777777" w:rsidR="00446494" w:rsidRPr="002E39E5" w:rsidRDefault="00446494" w:rsidP="00446494">
      <w:pPr>
        <w:pStyle w:val="ListParagraph"/>
        <w:numPr>
          <w:ilvl w:val="0"/>
          <w:numId w:val="1"/>
        </w:numPr>
        <w:rPr>
          <w:rFonts w:ascii="Arial" w:hAnsi="Arial" w:cs="Arial"/>
        </w:rPr>
      </w:pPr>
      <w:r w:rsidRPr="002E39E5">
        <w:rPr>
          <w:rFonts w:ascii="Arial" w:hAnsi="Arial" w:cs="Arial"/>
        </w:rPr>
        <w:t>SUDS/SUDS Bond</w:t>
      </w:r>
      <w:r>
        <w:rPr>
          <w:rFonts w:ascii="Arial" w:hAnsi="Arial" w:cs="Arial"/>
        </w:rPr>
        <w:t xml:space="preserve"> (Bond not necessary if Southern Water have agreed to adopt SUDS once installed)</w:t>
      </w:r>
    </w:p>
    <w:p w14:paraId="57542C54" w14:textId="0837AB53" w:rsidR="00446494" w:rsidRDefault="00446494" w:rsidP="005B56A3">
      <w:pPr>
        <w:pStyle w:val="ListParagraph"/>
        <w:numPr>
          <w:ilvl w:val="0"/>
          <w:numId w:val="1"/>
        </w:numPr>
        <w:rPr>
          <w:rFonts w:ascii="Arial" w:hAnsi="Arial" w:cs="Arial"/>
        </w:rPr>
      </w:pPr>
      <w:r>
        <w:rPr>
          <w:rFonts w:ascii="Arial" w:hAnsi="Arial" w:cs="Arial"/>
        </w:rPr>
        <w:t>Community Worker</w:t>
      </w:r>
      <w:r w:rsidR="00EC058A">
        <w:rPr>
          <w:rFonts w:ascii="Arial" w:hAnsi="Arial" w:cs="Arial"/>
        </w:rPr>
        <w:t xml:space="preserve"> </w:t>
      </w:r>
      <w:r w:rsidR="00BF0640">
        <w:rPr>
          <w:rFonts w:ascii="Arial" w:hAnsi="Arial" w:cs="Arial"/>
        </w:rPr>
        <w:t>– payment due on commencement</w:t>
      </w:r>
    </w:p>
    <w:p w14:paraId="7DB5D847" w14:textId="4FDADCFF" w:rsidR="00726663" w:rsidRDefault="004B4167" w:rsidP="005B56A3">
      <w:pPr>
        <w:pStyle w:val="ListParagraph"/>
        <w:numPr>
          <w:ilvl w:val="0"/>
          <w:numId w:val="1"/>
        </w:numPr>
        <w:rPr>
          <w:rFonts w:ascii="Arial" w:hAnsi="Arial" w:cs="Arial"/>
        </w:rPr>
      </w:pPr>
      <w:r>
        <w:rPr>
          <w:rFonts w:ascii="Arial" w:hAnsi="Arial" w:cs="Arial"/>
        </w:rPr>
        <w:t>Potential o</w:t>
      </w:r>
      <w:r w:rsidR="00726663">
        <w:rPr>
          <w:rFonts w:ascii="Arial" w:hAnsi="Arial" w:cs="Arial"/>
        </w:rPr>
        <w:t>n site Ecological Mitigation</w:t>
      </w:r>
    </w:p>
    <w:p w14:paraId="7F0B2DBF" w14:textId="251A3BB3" w:rsidR="005B56A3" w:rsidRDefault="005B56A3" w:rsidP="005B56A3">
      <w:pPr>
        <w:pStyle w:val="ListParagraph"/>
        <w:numPr>
          <w:ilvl w:val="0"/>
          <w:numId w:val="1"/>
        </w:numPr>
        <w:rPr>
          <w:rFonts w:ascii="Arial" w:hAnsi="Arial" w:cs="Arial"/>
        </w:rPr>
      </w:pPr>
      <w:r w:rsidRPr="00B81B00">
        <w:rPr>
          <w:rFonts w:ascii="Arial" w:hAnsi="Arial" w:cs="Arial"/>
        </w:rPr>
        <w:t>Education (HCC)</w:t>
      </w:r>
    </w:p>
    <w:p w14:paraId="7A70FD11" w14:textId="3AD83622" w:rsidR="00CF072B" w:rsidRDefault="00CF072B" w:rsidP="005B56A3">
      <w:pPr>
        <w:pStyle w:val="ListParagraph"/>
        <w:numPr>
          <w:ilvl w:val="0"/>
          <w:numId w:val="1"/>
        </w:numPr>
        <w:rPr>
          <w:rFonts w:ascii="Arial" w:hAnsi="Arial" w:cs="Arial"/>
        </w:rPr>
      </w:pPr>
      <w:r>
        <w:rPr>
          <w:rFonts w:ascii="Arial" w:hAnsi="Arial" w:cs="Arial"/>
        </w:rPr>
        <w:t>Travel Plan (HCC)</w:t>
      </w:r>
    </w:p>
    <w:p w14:paraId="4208A8FA" w14:textId="3D38C6F4" w:rsidR="005B56A3" w:rsidRDefault="005B56A3" w:rsidP="005B56A3">
      <w:pPr>
        <w:pStyle w:val="ListParagraph"/>
        <w:numPr>
          <w:ilvl w:val="0"/>
          <w:numId w:val="1"/>
        </w:numPr>
        <w:rPr>
          <w:rFonts w:ascii="Arial" w:hAnsi="Arial" w:cs="Arial"/>
        </w:rPr>
      </w:pPr>
      <w:r w:rsidRPr="002E39E5">
        <w:rPr>
          <w:rFonts w:ascii="Arial" w:hAnsi="Arial" w:cs="Arial"/>
        </w:rPr>
        <w:t>Site Specific Transport Improvements (HCC)</w:t>
      </w:r>
    </w:p>
    <w:p w14:paraId="46354A18" w14:textId="5AB62D45" w:rsidR="00CF072B" w:rsidRDefault="00CF072B" w:rsidP="005B56A3">
      <w:pPr>
        <w:pStyle w:val="ListParagraph"/>
        <w:numPr>
          <w:ilvl w:val="0"/>
          <w:numId w:val="1"/>
        </w:numPr>
        <w:rPr>
          <w:rFonts w:ascii="Arial" w:hAnsi="Arial" w:cs="Arial"/>
        </w:rPr>
      </w:pPr>
      <w:r>
        <w:rPr>
          <w:rFonts w:ascii="Arial" w:hAnsi="Arial" w:cs="Arial"/>
        </w:rPr>
        <w:t>Highway Works (HCC)</w:t>
      </w:r>
    </w:p>
    <w:p w14:paraId="614749BF" w14:textId="74FC0950" w:rsidR="005B56A3" w:rsidRDefault="005B56A3" w:rsidP="005B56A3">
      <w:pPr>
        <w:pStyle w:val="ListParagraph"/>
        <w:numPr>
          <w:ilvl w:val="0"/>
          <w:numId w:val="1"/>
        </w:numPr>
        <w:rPr>
          <w:rFonts w:ascii="Arial" w:hAnsi="Arial" w:cs="Arial"/>
        </w:rPr>
      </w:pPr>
      <w:r w:rsidRPr="002E39E5">
        <w:rPr>
          <w:rFonts w:ascii="Arial" w:hAnsi="Arial" w:cs="Arial"/>
        </w:rPr>
        <w:lastRenderedPageBreak/>
        <w:t>Others</w:t>
      </w:r>
      <w:r w:rsidR="002E39E5" w:rsidRPr="002E39E5">
        <w:rPr>
          <w:rFonts w:ascii="Arial" w:hAnsi="Arial" w:cs="Arial"/>
        </w:rPr>
        <w:t xml:space="preserve"> arising out of consultee responses</w:t>
      </w:r>
    </w:p>
    <w:p w14:paraId="1F54133E" w14:textId="77777777" w:rsidR="000E51C0" w:rsidRPr="009800D6" w:rsidRDefault="000E51C0" w:rsidP="000E51C0">
      <w:pPr>
        <w:autoSpaceDE w:val="0"/>
        <w:autoSpaceDN w:val="0"/>
        <w:adjustRightInd w:val="0"/>
        <w:spacing w:after="0" w:line="240" w:lineRule="auto"/>
        <w:rPr>
          <w:rFonts w:ascii="Arial" w:hAnsi="Arial" w:cs="Arial"/>
          <w:b/>
        </w:rPr>
      </w:pPr>
    </w:p>
    <w:p w14:paraId="0B97E62D" w14:textId="77777777" w:rsidR="000E51C0" w:rsidRPr="00EF73B1" w:rsidRDefault="000E51C0" w:rsidP="000E51C0">
      <w:pPr>
        <w:rPr>
          <w:rStyle w:val="Hyperlink"/>
          <w:rFonts w:ascii="Arial" w:hAnsi="Arial" w:cs="Arial"/>
          <w:b/>
          <w:color w:val="auto"/>
        </w:rPr>
      </w:pPr>
      <w:r w:rsidRPr="00EF73B1">
        <w:rPr>
          <w:rStyle w:val="Hyperlink"/>
          <w:rFonts w:ascii="Arial" w:hAnsi="Arial" w:cs="Arial"/>
          <w:b/>
          <w:color w:val="auto"/>
        </w:rPr>
        <w:t>SEE THE HBC DEVELOPER CONTRIBUTIONS GUIDE FOR ADDITIONAL INFORMATION:</w:t>
      </w:r>
    </w:p>
    <w:p w14:paraId="5D6603F1" w14:textId="4BF7C9F1" w:rsidR="000E51C0" w:rsidRDefault="000E51C0" w:rsidP="000E51C0">
      <w:pPr>
        <w:autoSpaceDE w:val="0"/>
        <w:autoSpaceDN w:val="0"/>
        <w:adjustRightInd w:val="0"/>
        <w:spacing w:after="0" w:line="240" w:lineRule="auto"/>
        <w:rPr>
          <w:rStyle w:val="Hyperlink"/>
          <w:rFonts w:ascii="Arial" w:hAnsi="Arial" w:cs="Arial"/>
        </w:rPr>
      </w:pPr>
      <w:r w:rsidRPr="00EF73B1">
        <w:rPr>
          <w:rFonts w:ascii="Arial" w:hAnsi="Arial" w:cs="Arial"/>
        </w:rPr>
        <w:t xml:space="preserve">Latest version accessible from: </w:t>
      </w:r>
      <w:hyperlink r:id="rId9" w:history="1">
        <w:r w:rsidRPr="00EF73B1">
          <w:rPr>
            <w:rStyle w:val="Hyperlink"/>
            <w:rFonts w:ascii="Arial" w:hAnsi="Arial" w:cs="Arial"/>
          </w:rPr>
          <w:t>https://www.havant.gov.uk/community-infrastructure-levy</w:t>
        </w:r>
      </w:hyperlink>
    </w:p>
    <w:p w14:paraId="7C0AF21F" w14:textId="4AF78BB8" w:rsidR="00BA69B3" w:rsidRDefault="00BA69B3" w:rsidP="000E51C0">
      <w:pPr>
        <w:autoSpaceDE w:val="0"/>
        <w:autoSpaceDN w:val="0"/>
        <w:adjustRightInd w:val="0"/>
        <w:spacing w:after="0" w:line="240" w:lineRule="auto"/>
        <w:rPr>
          <w:rStyle w:val="Hyperlink"/>
          <w:rFonts w:ascii="Arial" w:hAnsi="Arial" w:cs="Arial"/>
        </w:rPr>
      </w:pPr>
    </w:p>
    <w:p w14:paraId="4A2A3DA5" w14:textId="77777777" w:rsidR="00BA69B3" w:rsidRPr="001B5EE6" w:rsidRDefault="00BA69B3" w:rsidP="00BA69B3">
      <w:pPr>
        <w:autoSpaceDE w:val="0"/>
        <w:autoSpaceDN w:val="0"/>
        <w:adjustRightInd w:val="0"/>
        <w:spacing w:after="0" w:line="240" w:lineRule="auto"/>
        <w:rPr>
          <w:rFonts w:ascii="Arial" w:hAnsi="Arial" w:cs="Arial"/>
        </w:rPr>
      </w:pPr>
      <w:r w:rsidRPr="001B5EE6">
        <w:rPr>
          <w:rFonts w:ascii="Arial" w:hAnsi="Arial" w:cs="Arial"/>
          <w:b/>
        </w:rPr>
        <w:t xml:space="preserve">*HBC Monitoring Fees:  </w:t>
      </w:r>
      <w:r w:rsidRPr="001B5EE6">
        <w:rPr>
          <w:rFonts w:ascii="Arial" w:hAnsi="Arial" w:cs="Arial"/>
        </w:rPr>
        <w:t xml:space="preserve">As part of the ‘Heads of Terms’ it </w:t>
      </w:r>
      <w:r>
        <w:rPr>
          <w:rFonts w:ascii="Arial" w:hAnsi="Arial" w:cs="Arial"/>
        </w:rPr>
        <w:t>is</w:t>
      </w:r>
      <w:r w:rsidRPr="001B5EE6">
        <w:rPr>
          <w:rFonts w:ascii="Arial" w:hAnsi="Arial" w:cs="Arial"/>
        </w:rPr>
        <w:t xml:space="preserve"> necessary to include monitoring fees.</w:t>
      </w:r>
      <w:r w:rsidRPr="001B5EE6">
        <w:rPr>
          <w:rFonts w:ascii="Arial" w:hAnsi="Arial" w:cs="Arial"/>
          <w:b/>
        </w:rPr>
        <w:t xml:space="preserve"> </w:t>
      </w:r>
      <w:r w:rsidRPr="001B5EE6">
        <w:rPr>
          <w:rFonts w:ascii="Arial" w:hAnsi="Arial" w:cs="Arial"/>
        </w:rPr>
        <w:t xml:space="preserve">The amended CIL Regulations effective 1/9/19 regularise the collection of S106 monitoring fees. We have an agreed schedule of charges, due to be updated 1/4/23: </w:t>
      </w:r>
    </w:p>
    <w:p w14:paraId="518BC0AD" w14:textId="77777777" w:rsidR="00BA69B3" w:rsidRPr="001B5EE6" w:rsidRDefault="00BA69B3" w:rsidP="00BA69B3">
      <w:pPr>
        <w:autoSpaceDE w:val="0"/>
        <w:autoSpaceDN w:val="0"/>
        <w:adjustRightInd w:val="0"/>
        <w:spacing w:after="0" w:line="240" w:lineRule="auto"/>
        <w:rPr>
          <w:rFonts w:ascii="Arial" w:hAnsi="Arial" w:cs="Arial"/>
        </w:rPr>
      </w:pPr>
    </w:p>
    <w:p w14:paraId="796B8F9A" w14:textId="77777777" w:rsidR="00BA69B3" w:rsidRPr="001B5EE6" w:rsidRDefault="00BA69B3" w:rsidP="00BA69B3">
      <w:pPr>
        <w:shd w:val="clear" w:color="auto" w:fill="FFFFFF"/>
        <w:spacing w:after="0" w:line="240" w:lineRule="auto"/>
        <w:rPr>
          <w:rFonts w:ascii="Arial" w:eastAsia="Times New Roman" w:hAnsi="Arial" w:cs="Arial"/>
          <w:color w:val="000000"/>
          <w:lang w:eastAsia="en-GB"/>
        </w:rPr>
      </w:pPr>
      <w:r w:rsidRPr="001B5EE6">
        <w:rPr>
          <w:rFonts w:ascii="Arial" w:eastAsia="Times New Roman" w:hAnsi="Arial" w:cs="Arial"/>
          <w:b/>
          <w:bCs/>
          <w:color w:val="000000"/>
          <w:lang w:eastAsia="en-GB"/>
        </w:rPr>
        <w:t>From 1 April 2022</w:t>
      </w:r>
    </w:p>
    <w:p w14:paraId="2E70F039" w14:textId="77777777" w:rsidR="00BA69B3" w:rsidRPr="001B5EE6" w:rsidRDefault="00BA69B3" w:rsidP="00BA69B3">
      <w:pPr>
        <w:numPr>
          <w:ilvl w:val="0"/>
          <w:numId w:val="3"/>
        </w:numPr>
        <w:shd w:val="clear" w:color="auto" w:fill="FFFFFF"/>
        <w:spacing w:before="100" w:beforeAutospacing="1" w:after="100" w:afterAutospacing="1" w:line="240" w:lineRule="auto"/>
        <w:rPr>
          <w:rFonts w:ascii="Arial" w:eastAsia="Times New Roman" w:hAnsi="Arial" w:cs="Arial"/>
          <w:color w:val="000000"/>
          <w:lang w:eastAsia="en-GB"/>
        </w:rPr>
      </w:pPr>
      <w:r w:rsidRPr="001B5EE6">
        <w:rPr>
          <w:rFonts w:ascii="Arial" w:eastAsia="Times New Roman" w:hAnsi="Arial" w:cs="Arial"/>
          <w:color w:val="000000"/>
          <w:lang w:eastAsia="en-GB"/>
        </w:rPr>
        <w:t>£798.00 per non-financial head of term (outside the scope of VAT)</w:t>
      </w:r>
    </w:p>
    <w:p w14:paraId="3DBC7620" w14:textId="77777777" w:rsidR="00BA69B3" w:rsidRPr="001B5EE6" w:rsidRDefault="00BA69B3" w:rsidP="00BA69B3">
      <w:pPr>
        <w:numPr>
          <w:ilvl w:val="0"/>
          <w:numId w:val="3"/>
        </w:numPr>
        <w:shd w:val="clear" w:color="auto" w:fill="FFFFFF"/>
        <w:spacing w:before="100" w:beforeAutospacing="1" w:after="100" w:afterAutospacing="1" w:line="240" w:lineRule="auto"/>
        <w:rPr>
          <w:rFonts w:ascii="Arial" w:eastAsia="Times New Roman" w:hAnsi="Arial" w:cs="Arial"/>
          <w:color w:val="000000"/>
          <w:lang w:eastAsia="en-GB"/>
        </w:rPr>
      </w:pPr>
      <w:r w:rsidRPr="001B5EE6">
        <w:rPr>
          <w:rFonts w:ascii="Arial" w:eastAsia="Times New Roman" w:hAnsi="Arial" w:cs="Arial"/>
          <w:color w:val="000000"/>
          <w:lang w:eastAsia="en-GB"/>
        </w:rPr>
        <w:t>5% of cost per financial head of term (outside the scope of VAT)</w:t>
      </w:r>
    </w:p>
    <w:p w14:paraId="020C850B" w14:textId="13A187F4" w:rsidR="00BA69B3" w:rsidRDefault="00BA69B3" w:rsidP="00BA69B3">
      <w:pPr>
        <w:shd w:val="clear" w:color="auto" w:fill="FFFFFF"/>
        <w:spacing w:after="0" w:line="240" w:lineRule="auto"/>
        <w:rPr>
          <w:rFonts w:ascii="Arial" w:eastAsia="Times New Roman" w:hAnsi="Arial" w:cs="Arial"/>
          <w:color w:val="000000"/>
          <w:lang w:eastAsia="en-GB"/>
        </w:rPr>
      </w:pPr>
      <w:r w:rsidRPr="001B5EE6">
        <w:rPr>
          <w:rFonts w:ascii="Arial" w:eastAsia="Times New Roman" w:hAnsi="Arial" w:cs="Arial"/>
          <w:color w:val="000000"/>
          <w:lang w:eastAsia="en-GB"/>
        </w:rPr>
        <w:t xml:space="preserve">Monitoring fee is capped at a maximum of £11,525 per application. This cap only applies to major applications (up to 250 Homes) without long term ecological management which may </w:t>
      </w:r>
      <w:r>
        <w:rPr>
          <w:rFonts w:ascii="Arial" w:eastAsia="Times New Roman" w:hAnsi="Arial" w:cs="Arial"/>
          <w:color w:val="000000"/>
          <w:lang w:eastAsia="en-GB"/>
        </w:rPr>
        <w:t xml:space="preserve">also </w:t>
      </w:r>
      <w:r w:rsidRPr="001B5EE6">
        <w:rPr>
          <w:rFonts w:ascii="Arial" w:eastAsia="Times New Roman" w:hAnsi="Arial" w:cs="Arial"/>
          <w:color w:val="000000"/>
          <w:lang w:eastAsia="en-GB"/>
        </w:rPr>
        <w:t>be subject to separate negotiation.</w:t>
      </w:r>
    </w:p>
    <w:p w14:paraId="36E947B3" w14:textId="2E707060" w:rsidR="00CF072B" w:rsidRDefault="00CF072B" w:rsidP="00BA69B3">
      <w:pPr>
        <w:shd w:val="clear" w:color="auto" w:fill="FFFFFF"/>
        <w:spacing w:after="0" w:line="240" w:lineRule="auto"/>
        <w:rPr>
          <w:rFonts w:ascii="Arial" w:eastAsia="Times New Roman" w:hAnsi="Arial" w:cs="Arial"/>
          <w:color w:val="000000"/>
          <w:lang w:eastAsia="en-GB"/>
        </w:rPr>
      </w:pPr>
    </w:p>
    <w:p w14:paraId="2A93DE41" w14:textId="069FD847" w:rsidR="00CF072B" w:rsidRPr="001B5EE6" w:rsidRDefault="00CF072B" w:rsidP="00BA69B3">
      <w:p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The sums charged will be increased and apply to S106 agreements drafted after 31/3/23.</w:t>
      </w:r>
    </w:p>
    <w:p w14:paraId="35589B30" w14:textId="77777777" w:rsidR="00BA69B3" w:rsidRDefault="00BA69B3" w:rsidP="00BA69B3">
      <w:pPr>
        <w:autoSpaceDE w:val="0"/>
        <w:autoSpaceDN w:val="0"/>
        <w:adjustRightInd w:val="0"/>
        <w:spacing w:after="0" w:line="240" w:lineRule="auto"/>
        <w:rPr>
          <w:rFonts w:ascii="Arial" w:hAnsi="Arial" w:cs="Arial"/>
        </w:rPr>
      </w:pPr>
    </w:p>
    <w:p w14:paraId="23465004" w14:textId="77777777" w:rsidR="00BA69B3" w:rsidRPr="00BA5ACD" w:rsidRDefault="00BA69B3" w:rsidP="00BA69B3">
      <w:pPr>
        <w:rPr>
          <w:rFonts w:ascii="Arial" w:hAnsi="Arial" w:cs="Arial"/>
          <w:b/>
        </w:rPr>
      </w:pPr>
      <w:r>
        <w:rPr>
          <w:rFonts w:ascii="Arial" w:hAnsi="Arial" w:cs="Arial"/>
          <w:b/>
        </w:rPr>
        <w:t xml:space="preserve"> **</w:t>
      </w:r>
      <w:r w:rsidRPr="00BA5ACD">
        <w:rPr>
          <w:rFonts w:ascii="Arial" w:hAnsi="Arial" w:cs="Arial"/>
          <w:b/>
        </w:rPr>
        <w:t>Solent Recreation Mitigation Strategy</w:t>
      </w:r>
    </w:p>
    <w:p w14:paraId="5B78702F" w14:textId="77777777" w:rsidR="00BA69B3" w:rsidRDefault="00BA69B3" w:rsidP="00BA69B3">
      <w:pPr>
        <w:rPr>
          <w:rStyle w:val="Hyperlink"/>
          <w:rFonts w:ascii="Arial" w:hAnsi="Arial" w:cs="Arial"/>
        </w:rPr>
      </w:pPr>
      <w:r>
        <w:rPr>
          <w:rFonts w:ascii="Arial" w:hAnsi="Arial" w:cs="Arial"/>
        </w:rPr>
        <w:t>The charges updated 1/4/22 are set out below, b</w:t>
      </w:r>
      <w:r w:rsidRPr="00985E1B">
        <w:rPr>
          <w:rFonts w:ascii="Arial" w:hAnsi="Arial" w:cs="Arial"/>
        </w:rPr>
        <w:t xml:space="preserve">ased on </w:t>
      </w:r>
      <w:r>
        <w:rPr>
          <w:rFonts w:ascii="Arial" w:hAnsi="Arial" w:cs="Arial"/>
        </w:rPr>
        <w:t xml:space="preserve">the maximum </w:t>
      </w:r>
      <w:r w:rsidRPr="00985E1B">
        <w:rPr>
          <w:rFonts w:ascii="Arial" w:hAnsi="Arial" w:cs="Arial"/>
        </w:rPr>
        <w:t xml:space="preserve">number of </w:t>
      </w:r>
      <w:r w:rsidRPr="00E57073">
        <w:rPr>
          <w:rFonts w:ascii="Arial" w:hAnsi="Arial" w:cs="Arial"/>
          <w:b/>
          <w:bCs/>
        </w:rPr>
        <w:t>net</w:t>
      </w:r>
      <w:r>
        <w:rPr>
          <w:rFonts w:ascii="Arial" w:hAnsi="Arial" w:cs="Arial"/>
        </w:rPr>
        <w:t xml:space="preserve"> new </w:t>
      </w:r>
      <w:r w:rsidRPr="00985E1B">
        <w:rPr>
          <w:rFonts w:ascii="Arial" w:hAnsi="Arial" w:cs="Arial"/>
        </w:rPr>
        <w:t>dwellings and bedroom sizes</w:t>
      </w:r>
      <w:r>
        <w:rPr>
          <w:rFonts w:ascii="Arial" w:hAnsi="Arial" w:cs="Arial"/>
        </w:rPr>
        <w:t>;</w:t>
      </w:r>
      <w:r w:rsidRPr="00DE38F1">
        <w:rPr>
          <w:rFonts w:ascii="Arial" w:hAnsi="Arial" w:cs="Arial"/>
        </w:rPr>
        <w:t xml:space="preserve"> </w:t>
      </w:r>
      <w:r>
        <w:rPr>
          <w:rFonts w:ascii="Arial" w:hAnsi="Arial" w:cs="Arial"/>
        </w:rPr>
        <w:t xml:space="preserve">contribution will be indexed (RPI), these rates will be updated 1/4/23: </w:t>
      </w:r>
      <w:hyperlink r:id="rId10" w:history="1">
        <w:r w:rsidRPr="003563BC">
          <w:rPr>
            <w:rStyle w:val="Hyperlink"/>
            <w:rFonts w:ascii="Arial" w:hAnsi="Arial" w:cs="Arial"/>
          </w:rPr>
          <w:t>http://www.havant.gov.uk/unilateral-undertaking-solent-recreation-mitigation-strategy</w:t>
        </w:r>
      </w:hyperlink>
    </w:p>
    <w:tbl>
      <w:tblPr>
        <w:tblStyle w:val="TableGrid"/>
        <w:tblW w:w="0" w:type="auto"/>
        <w:jc w:val="center"/>
        <w:tblLook w:val="04A0" w:firstRow="1" w:lastRow="0" w:firstColumn="1" w:lastColumn="0" w:noHBand="0" w:noVBand="1"/>
      </w:tblPr>
      <w:tblGrid>
        <w:gridCol w:w="2222"/>
        <w:gridCol w:w="1106"/>
        <w:gridCol w:w="5688"/>
      </w:tblGrid>
      <w:tr w:rsidR="00BA69B3" w:rsidRPr="00167782" w14:paraId="473424D6" w14:textId="77777777" w:rsidTr="00E9697F">
        <w:trPr>
          <w:trHeight w:val="542"/>
          <w:jc w:val="center"/>
        </w:trPr>
        <w:tc>
          <w:tcPr>
            <w:tcW w:w="2222" w:type="dxa"/>
          </w:tcPr>
          <w:p w14:paraId="3674A6E6"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b/>
                <w:sz w:val="20"/>
                <w:szCs w:val="20"/>
              </w:rPr>
            </w:pPr>
            <w:r w:rsidRPr="008D1DF8">
              <w:rPr>
                <w:rFonts w:ascii="Arial" w:hAnsi="Arial" w:cs="Arial"/>
                <w:b/>
                <w:sz w:val="20"/>
                <w:szCs w:val="20"/>
              </w:rPr>
              <w:t>No of Bedrooms</w:t>
            </w:r>
          </w:p>
        </w:tc>
        <w:tc>
          <w:tcPr>
            <w:tcW w:w="1106" w:type="dxa"/>
          </w:tcPr>
          <w:p w14:paraId="343387A4"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b/>
                <w:sz w:val="20"/>
                <w:szCs w:val="20"/>
              </w:rPr>
            </w:pPr>
            <w:r w:rsidRPr="008D1DF8">
              <w:rPr>
                <w:rFonts w:ascii="Arial" w:hAnsi="Arial" w:cs="Arial"/>
                <w:b/>
                <w:sz w:val="20"/>
                <w:szCs w:val="20"/>
              </w:rPr>
              <w:t>Amount</w:t>
            </w:r>
          </w:p>
        </w:tc>
        <w:tc>
          <w:tcPr>
            <w:tcW w:w="5688" w:type="dxa"/>
          </w:tcPr>
          <w:p w14:paraId="37E7805C"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b/>
                <w:sz w:val="20"/>
                <w:szCs w:val="20"/>
              </w:rPr>
            </w:pPr>
            <w:r w:rsidRPr="008D1DF8">
              <w:rPr>
                <w:rFonts w:ascii="Arial" w:hAnsi="Arial" w:cs="Arial"/>
                <w:b/>
                <w:sz w:val="20"/>
                <w:szCs w:val="20"/>
              </w:rPr>
              <w:t>Monitoring Fee</w:t>
            </w:r>
          </w:p>
        </w:tc>
      </w:tr>
      <w:tr w:rsidR="00BA69B3" w:rsidRPr="00167782" w14:paraId="1926B826" w14:textId="77777777" w:rsidTr="00E9697F">
        <w:trPr>
          <w:trHeight w:val="451"/>
          <w:jc w:val="center"/>
        </w:trPr>
        <w:tc>
          <w:tcPr>
            <w:tcW w:w="2222" w:type="dxa"/>
          </w:tcPr>
          <w:p w14:paraId="3675F04C"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1</w:t>
            </w:r>
          </w:p>
        </w:tc>
        <w:tc>
          <w:tcPr>
            <w:tcW w:w="1106" w:type="dxa"/>
          </w:tcPr>
          <w:p w14:paraId="6590632E"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Pr>
                <w:rFonts w:ascii="Arial" w:hAnsi="Arial" w:cs="Arial"/>
                <w:sz w:val="20"/>
                <w:szCs w:val="20"/>
              </w:rPr>
              <w:t>390</w:t>
            </w:r>
          </w:p>
        </w:tc>
        <w:tc>
          <w:tcPr>
            <w:tcW w:w="5688" w:type="dxa"/>
            <w:vMerge w:val="restart"/>
          </w:tcPr>
          <w:p w14:paraId="6F39D82A"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sz w:val="20"/>
                <w:szCs w:val="20"/>
              </w:rPr>
            </w:pPr>
            <w:r w:rsidRPr="008D1DF8">
              <w:rPr>
                <w:rFonts w:ascii="Arial" w:hAnsi="Arial" w:cs="Arial"/>
                <w:sz w:val="20"/>
                <w:szCs w:val="20"/>
              </w:rPr>
              <w:t>Plus 5% of total (sum may be included in ‘</w:t>
            </w:r>
            <w:r>
              <w:rPr>
                <w:rFonts w:ascii="Arial" w:hAnsi="Arial" w:cs="Arial"/>
                <w:sz w:val="20"/>
                <w:szCs w:val="20"/>
              </w:rPr>
              <w:t xml:space="preserve">HBC </w:t>
            </w:r>
            <w:r w:rsidRPr="008D1DF8">
              <w:rPr>
                <w:rFonts w:ascii="Arial" w:hAnsi="Arial" w:cs="Arial"/>
                <w:sz w:val="20"/>
                <w:szCs w:val="20"/>
              </w:rPr>
              <w:t>Monitoring Fees’)</w:t>
            </w:r>
          </w:p>
        </w:tc>
      </w:tr>
      <w:tr w:rsidR="00BA69B3" w:rsidRPr="00167782" w14:paraId="1285130F" w14:textId="77777777" w:rsidTr="00E9697F">
        <w:trPr>
          <w:trHeight w:val="451"/>
          <w:jc w:val="center"/>
        </w:trPr>
        <w:tc>
          <w:tcPr>
            <w:tcW w:w="2222" w:type="dxa"/>
          </w:tcPr>
          <w:p w14:paraId="7D734B10"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2</w:t>
            </w:r>
          </w:p>
        </w:tc>
        <w:tc>
          <w:tcPr>
            <w:tcW w:w="1106" w:type="dxa"/>
          </w:tcPr>
          <w:p w14:paraId="4B13AD08"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Pr>
                <w:rFonts w:ascii="Arial" w:hAnsi="Arial" w:cs="Arial"/>
                <w:sz w:val="20"/>
                <w:szCs w:val="20"/>
              </w:rPr>
              <w:t>563</w:t>
            </w:r>
          </w:p>
        </w:tc>
        <w:tc>
          <w:tcPr>
            <w:tcW w:w="5688" w:type="dxa"/>
            <w:vMerge/>
          </w:tcPr>
          <w:p w14:paraId="4CE1EE70" w14:textId="77777777" w:rsidR="00BA69B3" w:rsidRPr="00167782"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BA69B3" w:rsidRPr="00167782" w14:paraId="645E3BF9" w14:textId="77777777" w:rsidTr="00E9697F">
        <w:trPr>
          <w:trHeight w:val="451"/>
          <w:jc w:val="center"/>
        </w:trPr>
        <w:tc>
          <w:tcPr>
            <w:tcW w:w="2222" w:type="dxa"/>
          </w:tcPr>
          <w:p w14:paraId="1638EE29"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3</w:t>
            </w:r>
          </w:p>
        </w:tc>
        <w:tc>
          <w:tcPr>
            <w:tcW w:w="1106" w:type="dxa"/>
          </w:tcPr>
          <w:p w14:paraId="211547DB"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Pr>
                <w:rFonts w:ascii="Arial" w:hAnsi="Arial" w:cs="Arial"/>
                <w:sz w:val="20"/>
                <w:szCs w:val="20"/>
              </w:rPr>
              <w:t>735</w:t>
            </w:r>
          </w:p>
        </w:tc>
        <w:tc>
          <w:tcPr>
            <w:tcW w:w="5688" w:type="dxa"/>
            <w:vMerge/>
          </w:tcPr>
          <w:p w14:paraId="48724F6F" w14:textId="77777777" w:rsidR="00BA69B3" w:rsidRPr="00167782"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BA69B3" w:rsidRPr="00167782" w14:paraId="4DE29216" w14:textId="77777777" w:rsidTr="00E9697F">
        <w:trPr>
          <w:trHeight w:val="451"/>
          <w:jc w:val="center"/>
        </w:trPr>
        <w:tc>
          <w:tcPr>
            <w:tcW w:w="2222" w:type="dxa"/>
          </w:tcPr>
          <w:p w14:paraId="0E2FB9D1"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4</w:t>
            </w:r>
          </w:p>
        </w:tc>
        <w:tc>
          <w:tcPr>
            <w:tcW w:w="1106" w:type="dxa"/>
          </w:tcPr>
          <w:p w14:paraId="57F85227"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Pr>
                <w:rFonts w:ascii="Arial" w:hAnsi="Arial" w:cs="Arial"/>
                <w:sz w:val="20"/>
                <w:szCs w:val="20"/>
              </w:rPr>
              <w:t>864</w:t>
            </w:r>
          </w:p>
        </w:tc>
        <w:tc>
          <w:tcPr>
            <w:tcW w:w="5688" w:type="dxa"/>
            <w:vMerge/>
          </w:tcPr>
          <w:p w14:paraId="6C748A17" w14:textId="77777777" w:rsidR="00BA69B3" w:rsidRPr="00167782"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BA69B3" w:rsidRPr="00167782" w14:paraId="4D51FDAC" w14:textId="77777777" w:rsidTr="00E9697F">
        <w:trPr>
          <w:trHeight w:val="70"/>
          <w:jc w:val="center"/>
        </w:trPr>
        <w:tc>
          <w:tcPr>
            <w:tcW w:w="2222" w:type="dxa"/>
          </w:tcPr>
          <w:p w14:paraId="080B280B"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5+</w:t>
            </w:r>
          </w:p>
        </w:tc>
        <w:tc>
          <w:tcPr>
            <w:tcW w:w="1106" w:type="dxa"/>
          </w:tcPr>
          <w:p w14:paraId="2F0BDD81"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Pr>
                <w:rFonts w:ascii="Arial" w:hAnsi="Arial" w:cs="Arial"/>
                <w:sz w:val="20"/>
                <w:szCs w:val="20"/>
              </w:rPr>
              <w:t>1,014</w:t>
            </w:r>
          </w:p>
        </w:tc>
        <w:tc>
          <w:tcPr>
            <w:tcW w:w="5688" w:type="dxa"/>
            <w:vMerge/>
          </w:tcPr>
          <w:p w14:paraId="753D577B" w14:textId="77777777" w:rsidR="00BA69B3" w:rsidRPr="00167782"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bl>
    <w:p w14:paraId="5D7D9037" w14:textId="77777777" w:rsidR="00BA69B3" w:rsidRDefault="00BA69B3" w:rsidP="00BA69B3">
      <w:pPr>
        <w:spacing w:after="160" w:line="259" w:lineRule="auto"/>
        <w:rPr>
          <w:rFonts w:ascii="Arial" w:hAnsi="Arial" w:cs="Arial"/>
          <w:b/>
          <w:lang w:val="en"/>
        </w:rPr>
      </w:pPr>
    </w:p>
    <w:p w14:paraId="15B7E072" w14:textId="77777777" w:rsidR="00BA69B3" w:rsidRPr="00EF73B1" w:rsidRDefault="00BA69B3" w:rsidP="000E51C0">
      <w:pPr>
        <w:autoSpaceDE w:val="0"/>
        <w:autoSpaceDN w:val="0"/>
        <w:adjustRightInd w:val="0"/>
        <w:spacing w:after="0" w:line="240" w:lineRule="auto"/>
        <w:rPr>
          <w:rFonts w:ascii="Arial" w:hAnsi="Arial" w:cs="Arial"/>
        </w:rPr>
      </w:pPr>
    </w:p>
    <w:p w14:paraId="2DB22C36" w14:textId="77777777" w:rsidR="000E51C0" w:rsidRPr="0096267C" w:rsidRDefault="000E51C0" w:rsidP="000E51C0">
      <w:pPr>
        <w:autoSpaceDE w:val="0"/>
        <w:autoSpaceDN w:val="0"/>
        <w:adjustRightInd w:val="0"/>
        <w:spacing w:after="0" w:line="240" w:lineRule="auto"/>
        <w:rPr>
          <w:rFonts w:ascii="Arial" w:hAnsi="Arial" w:cs="Arial"/>
          <w:b/>
          <w:color w:val="FF0000"/>
        </w:rPr>
      </w:pPr>
    </w:p>
    <w:sectPr w:rsidR="000E51C0" w:rsidRPr="0096267C">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53CC3" w14:textId="77777777" w:rsidR="00424E0A" w:rsidRDefault="00424E0A" w:rsidP="00424E0A">
      <w:pPr>
        <w:spacing w:after="0" w:line="240" w:lineRule="auto"/>
      </w:pPr>
      <w:r>
        <w:separator/>
      </w:r>
    </w:p>
  </w:endnote>
  <w:endnote w:type="continuationSeparator" w:id="0">
    <w:p w14:paraId="34ACB72D" w14:textId="77777777" w:rsidR="00424E0A" w:rsidRDefault="00424E0A" w:rsidP="00424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3309338"/>
      <w:docPartObj>
        <w:docPartGallery w:val="Page Numbers (Bottom of Page)"/>
        <w:docPartUnique/>
      </w:docPartObj>
    </w:sdtPr>
    <w:sdtEndPr>
      <w:rPr>
        <w:noProof/>
      </w:rPr>
    </w:sdtEndPr>
    <w:sdtContent>
      <w:p w14:paraId="4224614F" w14:textId="466F386B" w:rsidR="00424E0A" w:rsidRDefault="00424E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0C2CC" w14:textId="77777777" w:rsidR="00424E0A" w:rsidRDefault="00424E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EA065" w14:textId="77777777" w:rsidR="00424E0A" w:rsidRDefault="00424E0A" w:rsidP="00424E0A">
      <w:pPr>
        <w:spacing w:after="0" w:line="240" w:lineRule="auto"/>
      </w:pPr>
      <w:r>
        <w:separator/>
      </w:r>
    </w:p>
  </w:footnote>
  <w:footnote w:type="continuationSeparator" w:id="0">
    <w:p w14:paraId="166BDD10" w14:textId="77777777" w:rsidR="00424E0A" w:rsidRDefault="00424E0A" w:rsidP="00424E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368C3"/>
    <w:multiLevelType w:val="multilevel"/>
    <w:tmpl w:val="9564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C34F21"/>
    <w:multiLevelType w:val="hybridMultilevel"/>
    <w:tmpl w:val="A8BE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495AEF"/>
    <w:multiLevelType w:val="hybridMultilevel"/>
    <w:tmpl w:val="76CE45C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16cid:durableId="398794215">
    <w:abstractNumId w:val="1"/>
  </w:num>
  <w:num w:numId="2" w16cid:durableId="375472451">
    <w:abstractNumId w:val="2"/>
  </w:num>
  <w:num w:numId="3" w16cid:durableId="2075619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17"/>
    <w:rsid w:val="00007F67"/>
    <w:rsid w:val="00036255"/>
    <w:rsid w:val="000470D0"/>
    <w:rsid w:val="00087E9C"/>
    <w:rsid w:val="000B0EE3"/>
    <w:rsid w:val="000B198B"/>
    <w:rsid w:val="000E51C0"/>
    <w:rsid w:val="00146D6D"/>
    <w:rsid w:val="001544FE"/>
    <w:rsid w:val="001B2B6E"/>
    <w:rsid w:val="001C0A55"/>
    <w:rsid w:val="001C5CD9"/>
    <w:rsid w:val="001F63C6"/>
    <w:rsid w:val="00203F2A"/>
    <w:rsid w:val="00242FF1"/>
    <w:rsid w:val="00285AFB"/>
    <w:rsid w:val="002A1652"/>
    <w:rsid w:val="002A6D3D"/>
    <w:rsid w:val="002B579C"/>
    <w:rsid w:val="002E39E5"/>
    <w:rsid w:val="00313624"/>
    <w:rsid w:val="00314489"/>
    <w:rsid w:val="003420A9"/>
    <w:rsid w:val="003A3A79"/>
    <w:rsid w:val="003C6C6F"/>
    <w:rsid w:val="00424E0A"/>
    <w:rsid w:val="00446494"/>
    <w:rsid w:val="0046350F"/>
    <w:rsid w:val="00472E88"/>
    <w:rsid w:val="004829B0"/>
    <w:rsid w:val="0048469D"/>
    <w:rsid w:val="004B4167"/>
    <w:rsid w:val="005105C0"/>
    <w:rsid w:val="005B56A3"/>
    <w:rsid w:val="005C34ED"/>
    <w:rsid w:val="005F79EA"/>
    <w:rsid w:val="00627420"/>
    <w:rsid w:val="0063574D"/>
    <w:rsid w:val="006A3DFD"/>
    <w:rsid w:val="006A6818"/>
    <w:rsid w:val="00726663"/>
    <w:rsid w:val="00791DE2"/>
    <w:rsid w:val="007F0B17"/>
    <w:rsid w:val="00812CB0"/>
    <w:rsid w:val="00852957"/>
    <w:rsid w:val="008A4058"/>
    <w:rsid w:val="008C6592"/>
    <w:rsid w:val="008C6620"/>
    <w:rsid w:val="008C6D1F"/>
    <w:rsid w:val="008D0653"/>
    <w:rsid w:val="008D1DF8"/>
    <w:rsid w:val="008E4FEE"/>
    <w:rsid w:val="008F033F"/>
    <w:rsid w:val="009A3A02"/>
    <w:rsid w:val="00A258EB"/>
    <w:rsid w:val="00A328B9"/>
    <w:rsid w:val="00A51637"/>
    <w:rsid w:val="00A947CB"/>
    <w:rsid w:val="00AB77F8"/>
    <w:rsid w:val="00AC3E43"/>
    <w:rsid w:val="00AD45DB"/>
    <w:rsid w:val="00AF57BE"/>
    <w:rsid w:val="00B01433"/>
    <w:rsid w:val="00B0721C"/>
    <w:rsid w:val="00B35C8A"/>
    <w:rsid w:val="00B9611C"/>
    <w:rsid w:val="00BA69B3"/>
    <w:rsid w:val="00BF0640"/>
    <w:rsid w:val="00C05A0A"/>
    <w:rsid w:val="00C14BFC"/>
    <w:rsid w:val="00C6557A"/>
    <w:rsid w:val="00C92149"/>
    <w:rsid w:val="00CA54E0"/>
    <w:rsid w:val="00CE0900"/>
    <w:rsid w:val="00CF072B"/>
    <w:rsid w:val="00CF7E4A"/>
    <w:rsid w:val="00D643AE"/>
    <w:rsid w:val="00D87C30"/>
    <w:rsid w:val="00DE236E"/>
    <w:rsid w:val="00DE2EA2"/>
    <w:rsid w:val="00E02F42"/>
    <w:rsid w:val="00E533D9"/>
    <w:rsid w:val="00E76B57"/>
    <w:rsid w:val="00EC058A"/>
    <w:rsid w:val="00EE057E"/>
    <w:rsid w:val="00EE1B05"/>
    <w:rsid w:val="00F04F5F"/>
    <w:rsid w:val="00F21E15"/>
    <w:rsid w:val="00F4604C"/>
    <w:rsid w:val="00F96359"/>
    <w:rsid w:val="00FA6226"/>
    <w:rsid w:val="00FC3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1129"/>
  <w15:chartTrackingRefBased/>
  <w15:docId w15:val="{4450E3BD-E410-43CD-A719-0BCBB2C0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E4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43"/>
    <w:rPr>
      <w:color w:val="0563C1" w:themeColor="hyperlink"/>
      <w:u w:val="single"/>
    </w:rPr>
  </w:style>
  <w:style w:type="paragraph" w:styleId="ListParagraph">
    <w:name w:val="List Paragraph"/>
    <w:basedOn w:val="Normal"/>
    <w:uiPriority w:val="34"/>
    <w:qFormat/>
    <w:rsid w:val="00AC3E43"/>
    <w:pPr>
      <w:ind w:left="720"/>
      <w:contextualSpacing/>
    </w:pPr>
  </w:style>
  <w:style w:type="character" w:customStyle="1" w:styleId="casenumber">
    <w:name w:val="casenumber"/>
    <w:basedOn w:val="DefaultParagraphFont"/>
    <w:rsid w:val="00AC3E43"/>
  </w:style>
  <w:style w:type="table" w:styleId="TableGrid">
    <w:name w:val="Table Grid"/>
    <w:basedOn w:val="TableNormal"/>
    <w:uiPriority w:val="59"/>
    <w:rsid w:val="00AC3E4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AC3E43"/>
    <w:pPr>
      <w:autoSpaceDE w:val="0"/>
      <w:autoSpaceDN w:val="0"/>
      <w:adjustRightInd w:val="0"/>
      <w:spacing w:after="0" w:line="240" w:lineRule="auto"/>
    </w:pPr>
    <w:rPr>
      <w:rFonts w:ascii="Arial" w:hAnsi="Arial" w:cs="Arial"/>
      <w:sz w:val="24"/>
      <w:szCs w:val="24"/>
    </w:rPr>
  </w:style>
  <w:style w:type="character" w:customStyle="1" w:styleId="fontstyle01">
    <w:name w:val="fontstyle01"/>
    <w:basedOn w:val="DefaultParagraphFont"/>
    <w:rsid w:val="00AC3E43"/>
    <w:rPr>
      <w:rFonts w:ascii="Arial-BoldMT" w:hAnsi="Arial-BoldMT" w:hint="default"/>
      <w:b/>
      <w:bCs/>
      <w:i w:val="0"/>
      <w:iCs w:val="0"/>
      <w:color w:val="000000"/>
      <w:sz w:val="22"/>
      <w:szCs w:val="22"/>
    </w:rPr>
  </w:style>
  <w:style w:type="character" w:customStyle="1" w:styleId="fontstyle21">
    <w:name w:val="fontstyle21"/>
    <w:basedOn w:val="DefaultParagraphFont"/>
    <w:rsid w:val="00AC3E43"/>
    <w:rPr>
      <w:rFonts w:ascii="ArialMT" w:hAnsi="ArialMT" w:hint="default"/>
      <w:b w:val="0"/>
      <w:bCs w:val="0"/>
      <w:i w:val="0"/>
      <w:iCs w:val="0"/>
      <w:color w:val="000000"/>
      <w:sz w:val="22"/>
      <w:szCs w:val="22"/>
    </w:rPr>
  </w:style>
  <w:style w:type="character" w:styleId="FollowedHyperlink">
    <w:name w:val="FollowedHyperlink"/>
    <w:basedOn w:val="DefaultParagraphFont"/>
    <w:uiPriority w:val="99"/>
    <w:semiHidden/>
    <w:unhideWhenUsed/>
    <w:rsid w:val="00B35C8A"/>
    <w:rPr>
      <w:color w:val="954F72" w:themeColor="followedHyperlink"/>
      <w:u w:val="single"/>
    </w:rPr>
  </w:style>
  <w:style w:type="character" w:styleId="Strong">
    <w:name w:val="Strong"/>
    <w:basedOn w:val="DefaultParagraphFont"/>
    <w:uiPriority w:val="22"/>
    <w:qFormat/>
    <w:rsid w:val="00F21E15"/>
    <w:rPr>
      <w:b/>
      <w:bCs/>
    </w:rPr>
  </w:style>
  <w:style w:type="character" w:styleId="UnresolvedMention">
    <w:name w:val="Unresolved Mention"/>
    <w:basedOn w:val="DefaultParagraphFont"/>
    <w:uiPriority w:val="99"/>
    <w:semiHidden/>
    <w:unhideWhenUsed/>
    <w:rsid w:val="00146D6D"/>
    <w:rPr>
      <w:color w:val="808080"/>
      <w:shd w:val="clear" w:color="auto" w:fill="E6E6E6"/>
    </w:rPr>
  </w:style>
  <w:style w:type="paragraph" w:styleId="NormalWeb">
    <w:name w:val="Normal (Web)"/>
    <w:basedOn w:val="Normal"/>
    <w:uiPriority w:val="99"/>
    <w:unhideWhenUsed/>
    <w:rsid w:val="001B2B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24E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4E0A"/>
  </w:style>
  <w:style w:type="paragraph" w:styleId="Footer">
    <w:name w:val="footer"/>
    <w:basedOn w:val="Normal"/>
    <w:link w:val="FooterChar"/>
    <w:uiPriority w:val="99"/>
    <w:unhideWhenUsed/>
    <w:rsid w:val="00424E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4E0A"/>
  </w:style>
  <w:style w:type="character" w:styleId="CommentReference">
    <w:name w:val="annotation reference"/>
    <w:basedOn w:val="DefaultParagraphFont"/>
    <w:uiPriority w:val="99"/>
    <w:semiHidden/>
    <w:unhideWhenUsed/>
    <w:rsid w:val="0063574D"/>
    <w:rPr>
      <w:sz w:val="16"/>
      <w:szCs w:val="16"/>
    </w:rPr>
  </w:style>
  <w:style w:type="paragraph" w:styleId="CommentText">
    <w:name w:val="annotation text"/>
    <w:basedOn w:val="Normal"/>
    <w:link w:val="CommentTextChar"/>
    <w:uiPriority w:val="99"/>
    <w:semiHidden/>
    <w:unhideWhenUsed/>
    <w:rsid w:val="0063574D"/>
    <w:pPr>
      <w:spacing w:line="240" w:lineRule="auto"/>
    </w:pPr>
    <w:rPr>
      <w:sz w:val="20"/>
      <w:szCs w:val="20"/>
    </w:rPr>
  </w:style>
  <w:style w:type="character" w:customStyle="1" w:styleId="CommentTextChar">
    <w:name w:val="Comment Text Char"/>
    <w:basedOn w:val="DefaultParagraphFont"/>
    <w:link w:val="CommentText"/>
    <w:uiPriority w:val="99"/>
    <w:semiHidden/>
    <w:rsid w:val="0063574D"/>
    <w:rPr>
      <w:sz w:val="20"/>
      <w:szCs w:val="20"/>
    </w:rPr>
  </w:style>
  <w:style w:type="paragraph" w:styleId="CommentSubject">
    <w:name w:val="annotation subject"/>
    <w:basedOn w:val="CommentText"/>
    <w:next w:val="CommentText"/>
    <w:link w:val="CommentSubjectChar"/>
    <w:uiPriority w:val="99"/>
    <w:semiHidden/>
    <w:unhideWhenUsed/>
    <w:rsid w:val="0063574D"/>
    <w:rPr>
      <w:b/>
      <w:bCs/>
    </w:rPr>
  </w:style>
  <w:style w:type="character" w:customStyle="1" w:styleId="CommentSubjectChar">
    <w:name w:val="Comment Subject Char"/>
    <w:basedOn w:val="CommentTextChar"/>
    <w:link w:val="CommentSubject"/>
    <w:uiPriority w:val="99"/>
    <w:semiHidden/>
    <w:rsid w:val="006357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386247">
      <w:bodyDiv w:val="1"/>
      <w:marLeft w:val="0"/>
      <w:marRight w:val="0"/>
      <w:marTop w:val="0"/>
      <w:marBottom w:val="0"/>
      <w:divBdr>
        <w:top w:val="none" w:sz="0" w:space="0" w:color="auto"/>
        <w:left w:val="none" w:sz="0" w:space="0" w:color="auto"/>
        <w:bottom w:val="none" w:sz="0" w:space="0" w:color="auto"/>
        <w:right w:val="none" w:sz="0" w:space="0" w:color="auto"/>
      </w:divBdr>
      <w:divsChild>
        <w:div w:id="1717192116">
          <w:marLeft w:val="0"/>
          <w:marRight w:val="0"/>
          <w:marTop w:val="0"/>
          <w:marBottom w:val="0"/>
          <w:divBdr>
            <w:top w:val="none" w:sz="0" w:space="0" w:color="auto"/>
            <w:left w:val="none" w:sz="0" w:space="0" w:color="auto"/>
            <w:bottom w:val="none" w:sz="0" w:space="0" w:color="auto"/>
            <w:right w:val="none" w:sz="0" w:space="0" w:color="auto"/>
          </w:divBdr>
          <w:divsChild>
            <w:div w:id="383063611">
              <w:marLeft w:val="0"/>
              <w:marRight w:val="0"/>
              <w:marTop w:val="0"/>
              <w:marBottom w:val="0"/>
              <w:divBdr>
                <w:top w:val="none" w:sz="0" w:space="0" w:color="auto"/>
                <w:left w:val="none" w:sz="0" w:space="0" w:color="auto"/>
                <w:bottom w:val="none" w:sz="0" w:space="0" w:color="auto"/>
                <w:right w:val="none" w:sz="0" w:space="0" w:color="auto"/>
              </w:divBdr>
              <w:divsChild>
                <w:div w:id="347801908">
                  <w:marLeft w:val="0"/>
                  <w:marRight w:val="0"/>
                  <w:marTop w:val="0"/>
                  <w:marBottom w:val="0"/>
                  <w:divBdr>
                    <w:top w:val="none" w:sz="0" w:space="0" w:color="auto"/>
                    <w:left w:val="none" w:sz="0" w:space="0" w:color="auto"/>
                    <w:bottom w:val="none" w:sz="0" w:space="0" w:color="auto"/>
                    <w:right w:val="none" w:sz="0" w:space="0" w:color="auto"/>
                  </w:divBdr>
                  <w:divsChild>
                    <w:div w:id="1716737147">
                      <w:marLeft w:val="0"/>
                      <w:marRight w:val="0"/>
                      <w:marTop w:val="0"/>
                      <w:marBottom w:val="0"/>
                      <w:divBdr>
                        <w:top w:val="none" w:sz="0" w:space="0" w:color="auto"/>
                        <w:left w:val="none" w:sz="0" w:space="0" w:color="auto"/>
                        <w:bottom w:val="none" w:sz="0" w:space="0" w:color="auto"/>
                        <w:right w:val="none" w:sz="0" w:space="0" w:color="auto"/>
                      </w:divBdr>
                      <w:divsChild>
                        <w:div w:id="431245273">
                          <w:marLeft w:val="0"/>
                          <w:marRight w:val="0"/>
                          <w:marTop w:val="0"/>
                          <w:marBottom w:val="0"/>
                          <w:divBdr>
                            <w:top w:val="none" w:sz="0" w:space="0" w:color="auto"/>
                            <w:left w:val="none" w:sz="0" w:space="0" w:color="auto"/>
                            <w:bottom w:val="none" w:sz="0" w:space="0" w:color="auto"/>
                            <w:right w:val="none" w:sz="0" w:space="0" w:color="auto"/>
                          </w:divBdr>
                          <w:divsChild>
                            <w:div w:id="1358702068">
                              <w:marLeft w:val="0"/>
                              <w:marRight w:val="0"/>
                              <w:marTop w:val="0"/>
                              <w:marBottom w:val="0"/>
                              <w:divBdr>
                                <w:top w:val="none" w:sz="0" w:space="0" w:color="auto"/>
                                <w:left w:val="none" w:sz="0" w:space="0" w:color="auto"/>
                                <w:bottom w:val="none" w:sz="0" w:space="0" w:color="auto"/>
                                <w:right w:val="none" w:sz="0" w:space="0" w:color="auto"/>
                              </w:divBdr>
                              <w:divsChild>
                                <w:div w:id="1425149278">
                                  <w:marLeft w:val="0"/>
                                  <w:marRight w:val="0"/>
                                  <w:marTop w:val="0"/>
                                  <w:marBottom w:val="0"/>
                                  <w:divBdr>
                                    <w:top w:val="none" w:sz="0" w:space="0" w:color="auto"/>
                                    <w:left w:val="none" w:sz="0" w:space="0" w:color="auto"/>
                                    <w:bottom w:val="none" w:sz="0" w:space="0" w:color="auto"/>
                                    <w:right w:val="none" w:sz="0" w:space="0" w:color="auto"/>
                                  </w:divBdr>
                                  <w:divsChild>
                                    <w:div w:id="1174800070">
                                      <w:marLeft w:val="0"/>
                                      <w:marRight w:val="0"/>
                                      <w:marTop w:val="0"/>
                                      <w:marBottom w:val="0"/>
                                      <w:divBdr>
                                        <w:top w:val="none" w:sz="0" w:space="0" w:color="auto"/>
                                        <w:left w:val="none" w:sz="0" w:space="0" w:color="auto"/>
                                        <w:bottom w:val="none" w:sz="0" w:space="0" w:color="auto"/>
                                        <w:right w:val="none" w:sz="0" w:space="0" w:color="auto"/>
                                      </w:divBdr>
                                      <w:divsChild>
                                        <w:div w:id="54669958">
                                          <w:marLeft w:val="0"/>
                                          <w:marRight w:val="0"/>
                                          <w:marTop w:val="0"/>
                                          <w:marBottom w:val="0"/>
                                          <w:divBdr>
                                            <w:top w:val="none" w:sz="0" w:space="0" w:color="auto"/>
                                            <w:left w:val="none" w:sz="0" w:space="0" w:color="auto"/>
                                            <w:bottom w:val="none" w:sz="0" w:space="0" w:color="auto"/>
                                            <w:right w:val="none" w:sz="0" w:space="0" w:color="auto"/>
                                          </w:divBdr>
                                          <w:divsChild>
                                            <w:div w:id="1614365891">
                                              <w:marLeft w:val="0"/>
                                              <w:marRight w:val="0"/>
                                              <w:marTop w:val="0"/>
                                              <w:marBottom w:val="0"/>
                                              <w:divBdr>
                                                <w:top w:val="none" w:sz="0" w:space="0" w:color="auto"/>
                                                <w:left w:val="none" w:sz="0" w:space="0" w:color="auto"/>
                                                <w:bottom w:val="none" w:sz="0" w:space="0" w:color="auto"/>
                                                <w:right w:val="none" w:sz="0" w:space="0" w:color="auto"/>
                                              </w:divBdr>
                                              <w:divsChild>
                                                <w:div w:id="93211209">
                                                  <w:marLeft w:val="0"/>
                                                  <w:marRight w:val="0"/>
                                                  <w:marTop w:val="0"/>
                                                  <w:marBottom w:val="0"/>
                                                  <w:divBdr>
                                                    <w:top w:val="none" w:sz="0" w:space="0" w:color="auto"/>
                                                    <w:left w:val="none" w:sz="0" w:space="0" w:color="auto"/>
                                                    <w:bottom w:val="none" w:sz="0" w:space="0" w:color="auto"/>
                                                    <w:right w:val="none" w:sz="0" w:space="0" w:color="auto"/>
                                                  </w:divBdr>
                                                  <w:divsChild>
                                                    <w:div w:id="386533837">
                                                      <w:marLeft w:val="0"/>
                                                      <w:marRight w:val="0"/>
                                                      <w:marTop w:val="0"/>
                                                      <w:marBottom w:val="0"/>
                                                      <w:divBdr>
                                                        <w:top w:val="none" w:sz="0" w:space="0" w:color="auto"/>
                                                        <w:left w:val="none" w:sz="0" w:space="0" w:color="auto"/>
                                                        <w:bottom w:val="none" w:sz="0" w:space="0" w:color="auto"/>
                                                        <w:right w:val="none" w:sz="0" w:space="0" w:color="auto"/>
                                                      </w:divBdr>
                                                      <w:divsChild>
                                                        <w:div w:id="695430329">
                                                          <w:marLeft w:val="0"/>
                                                          <w:marRight w:val="0"/>
                                                          <w:marTop w:val="0"/>
                                                          <w:marBottom w:val="0"/>
                                                          <w:divBdr>
                                                            <w:top w:val="none" w:sz="0" w:space="0" w:color="auto"/>
                                                            <w:left w:val="none" w:sz="0" w:space="0" w:color="auto"/>
                                                            <w:bottom w:val="none" w:sz="0" w:space="0" w:color="auto"/>
                                                            <w:right w:val="none" w:sz="0" w:space="0" w:color="auto"/>
                                                          </w:divBdr>
                                                          <w:divsChild>
                                                            <w:div w:id="167441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6340058">
      <w:bodyDiv w:val="1"/>
      <w:marLeft w:val="0"/>
      <w:marRight w:val="0"/>
      <w:marTop w:val="0"/>
      <w:marBottom w:val="0"/>
      <w:divBdr>
        <w:top w:val="none" w:sz="0" w:space="0" w:color="auto"/>
        <w:left w:val="none" w:sz="0" w:space="0" w:color="auto"/>
        <w:bottom w:val="none" w:sz="0" w:space="0" w:color="auto"/>
        <w:right w:val="none" w:sz="0" w:space="0" w:color="auto"/>
      </w:divBdr>
    </w:div>
    <w:div w:id="1282415160">
      <w:bodyDiv w:val="1"/>
      <w:marLeft w:val="0"/>
      <w:marRight w:val="0"/>
      <w:marTop w:val="0"/>
      <w:marBottom w:val="0"/>
      <w:divBdr>
        <w:top w:val="none" w:sz="0" w:space="0" w:color="auto"/>
        <w:left w:val="none" w:sz="0" w:space="0" w:color="auto"/>
        <w:bottom w:val="none" w:sz="0" w:space="0" w:color="auto"/>
        <w:right w:val="none" w:sz="0" w:space="0" w:color="auto"/>
      </w:divBdr>
    </w:div>
    <w:div w:id="179556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mitigation-schemes-available-to-develope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avant.gov.uk/sites/default/files/documents/HBC%20CIL%20Charging%20Schedule%20Full%20Document%20Feb%202013.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havant.gov.uk/unilateral-undertaking-solent-recreation-mitigation-strategy" TargetMode="External"/><Relationship Id="rId4" Type="http://schemas.openxmlformats.org/officeDocument/2006/relationships/webSettings" Target="webSettings.xml"/><Relationship Id="rId9" Type="http://schemas.openxmlformats.org/officeDocument/2006/relationships/hyperlink" Target="https://www.havant.gov.uk/community-infrastructure-le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2</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Louise</dc:creator>
  <cp:keywords/>
  <dc:description/>
  <cp:lastModifiedBy>Weaver, Louise</cp:lastModifiedBy>
  <cp:revision>17</cp:revision>
  <dcterms:created xsi:type="dcterms:W3CDTF">2022-01-20T10:01:00Z</dcterms:created>
  <dcterms:modified xsi:type="dcterms:W3CDTF">2023-02-10T11:17:00Z</dcterms:modified>
</cp:coreProperties>
</file>