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BEA4356" w14:textId="77777777" w:rsidR="0066671B" w:rsidRDefault="0066671B">
      <w:pPr>
        <w:pStyle w:val="Title"/>
        <w:tabs>
          <w:tab w:val="left" w:pos="9360"/>
          <w:tab w:val="left" w:pos="10080"/>
        </w:tabs>
        <w:rPr>
          <w:rFonts w:ascii="Arial" w:hAnsi="Arial" w:cs="Arial"/>
          <w:sz w:val="24"/>
          <w:szCs w:val="24"/>
        </w:rPr>
      </w:pPr>
      <w:r>
        <w:rPr>
          <w:rFonts w:ascii="Arial" w:hAnsi="Arial" w:cs="Arial"/>
          <w:sz w:val="24"/>
          <w:szCs w:val="24"/>
        </w:rPr>
        <w:t>HAVANT  BOROUGH  COUNCIL</w:t>
      </w:r>
    </w:p>
    <w:p w14:paraId="45261F52" w14:textId="77777777" w:rsidR="0066671B" w:rsidRDefault="00666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color w:val="000000"/>
          <w:sz w:val="24"/>
          <w:szCs w:val="24"/>
        </w:rPr>
      </w:pPr>
    </w:p>
    <w:p w14:paraId="628C67E6" w14:textId="77777777" w:rsidR="0066671B" w:rsidRDefault="00666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sz w:val="24"/>
          <w:szCs w:val="24"/>
        </w:rPr>
      </w:pPr>
      <w:r>
        <w:rPr>
          <w:rFonts w:ascii="Arial" w:hAnsi="Arial" w:cs="Arial"/>
          <w:b/>
          <w:bCs/>
          <w:color w:val="000000"/>
          <w:sz w:val="24"/>
          <w:szCs w:val="24"/>
        </w:rPr>
        <w:t>Town &amp; Country Planning Act 1990</w:t>
      </w:r>
    </w:p>
    <w:p w14:paraId="3F7ADDF6" w14:textId="77777777" w:rsidR="0066671B" w:rsidRDefault="00666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sz w:val="24"/>
          <w:szCs w:val="24"/>
        </w:rPr>
      </w:pPr>
    </w:p>
    <w:p w14:paraId="67A2066C" w14:textId="77777777" w:rsidR="0066671B" w:rsidRDefault="00666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rPr>
      </w:pPr>
      <w:r>
        <w:rPr>
          <w:rFonts w:ascii="Arial" w:hAnsi="Arial" w:cs="Arial"/>
          <w:b/>
          <w:bCs/>
          <w:color w:val="000000"/>
          <w:sz w:val="24"/>
          <w:szCs w:val="24"/>
        </w:rPr>
        <w:t>Consultation on Planning Application</w:t>
      </w:r>
    </w:p>
    <w:p w14:paraId="4DDD5831" w14:textId="77777777" w:rsidR="0066671B" w:rsidRDefault="00666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color w:val="000000"/>
          <w:sz w:val="20"/>
          <w:szCs w:val="20"/>
        </w:rPr>
      </w:pPr>
    </w:p>
    <w:p w14:paraId="3F8D2C6A" w14:textId="77777777" w:rsidR="0066671B" w:rsidRDefault="0066671B">
      <w:pPr>
        <w:pStyle w:val="Heading3"/>
        <w:tabs>
          <w:tab w:val="left" w:pos="9360"/>
          <w:tab w:val="left" w:pos="10080"/>
        </w:tabs>
        <w:rPr>
          <w:rFonts w:ascii="Arial" w:hAnsi="Arial" w:cs="Arial"/>
        </w:rPr>
      </w:pPr>
      <w:r>
        <w:rPr>
          <w:rFonts w:ascii="Arial" w:hAnsi="Arial" w:cs="Arial"/>
        </w:rPr>
        <w:t>MEMORANDUM</w:t>
      </w:r>
    </w:p>
    <w:p w14:paraId="25EDA578" w14:textId="77777777" w:rsidR="0066671B" w:rsidRDefault="0066671B">
      <w:pPr>
        <w:spacing w:after="0" w:line="240" w:lineRule="auto"/>
        <w:rPr>
          <w:rFonts w:ascii="Times New Roman" w:hAnsi="Times New Roman" w:cs="Times New Roman"/>
          <w:sz w:val="24"/>
          <w:szCs w:val="24"/>
        </w:rPr>
      </w:pPr>
    </w:p>
    <w:tbl>
      <w:tblPr>
        <w:tblW w:w="0" w:type="auto"/>
        <w:tblInd w:w="36" w:type="dxa"/>
        <w:tblLayout w:type="fixed"/>
        <w:tblCellMar>
          <w:left w:w="36" w:type="dxa"/>
          <w:right w:w="36" w:type="dxa"/>
        </w:tblCellMar>
        <w:tblLook w:val="0000" w:firstRow="0" w:lastRow="0" w:firstColumn="0" w:lastColumn="0" w:noHBand="0" w:noVBand="0"/>
      </w:tblPr>
      <w:tblGrid>
        <w:gridCol w:w="2820"/>
        <w:gridCol w:w="2745"/>
        <w:gridCol w:w="1305"/>
        <w:gridCol w:w="2700"/>
      </w:tblGrid>
      <w:tr w:rsidR="0066671B" w14:paraId="2EA51EFA" w14:textId="77777777">
        <w:tc>
          <w:tcPr>
            <w:tcW w:w="2820" w:type="dxa"/>
            <w:tcBorders>
              <w:top w:val="nil"/>
              <w:left w:val="nil"/>
              <w:bottom w:val="nil"/>
              <w:right w:val="nil"/>
            </w:tcBorders>
          </w:tcPr>
          <w:p w14:paraId="28F1A099"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color w:val="000000"/>
                <w:sz w:val="22"/>
                <w:szCs w:val="22"/>
              </w:rPr>
              <w:t xml:space="preserve"> </w:t>
            </w:r>
            <w:r>
              <w:rPr>
                <w:b/>
                <w:bCs/>
                <w:color w:val="000000"/>
                <w:sz w:val="22"/>
                <w:szCs w:val="22"/>
              </w:rPr>
              <w:t xml:space="preserve"> From: </w:t>
            </w:r>
          </w:p>
        </w:tc>
        <w:tc>
          <w:tcPr>
            <w:tcW w:w="2745" w:type="dxa"/>
            <w:tcBorders>
              <w:top w:val="nil"/>
              <w:left w:val="nil"/>
              <w:bottom w:val="nil"/>
              <w:right w:val="nil"/>
            </w:tcBorders>
          </w:tcPr>
          <w:p w14:paraId="58AAC34E"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Environmental Health</w:t>
            </w:r>
          </w:p>
        </w:tc>
        <w:tc>
          <w:tcPr>
            <w:tcW w:w="1305" w:type="dxa"/>
            <w:tcBorders>
              <w:top w:val="nil"/>
              <w:left w:val="nil"/>
              <w:bottom w:val="nil"/>
              <w:right w:val="nil"/>
            </w:tcBorders>
          </w:tcPr>
          <w:p w14:paraId="2A136A3E"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To: </w:t>
            </w:r>
          </w:p>
        </w:tc>
        <w:tc>
          <w:tcPr>
            <w:tcW w:w="2700" w:type="dxa"/>
            <w:tcBorders>
              <w:top w:val="nil"/>
              <w:left w:val="nil"/>
              <w:bottom w:val="nil"/>
              <w:right w:val="nil"/>
            </w:tcBorders>
          </w:tcPr>
          <w:p w14:paraId="45DF9D5F"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Development Control</w:t>
            </w:r>
          </w:p>
        </w:tc>
      </w:tr>
      <w:tr w:rsidR="0066671B" w14:paraId="0E6CC4CC" w14:textId="77777777">
        <w:tc>
          <w:tcPr>
            <w:tcW w:w="2820" w:type="dxa"/>
            <w:tcBorders>
              <w:top w:val="nil"/>
              <w:left w:val="nil"/>
              <w:bottom w:val="nil"/>
              <w:right w:val="nil"/>
            </w:tcBorders>
          </w:tcPr>
          <w:p w14:paraId="0FA23204"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45" w:type="dxa"/>
            <w:tcBorders>
              <w:top w:val="nil"/>
              <w:left w:val="nil"/>
              <w:bottom w:val="nil"/>
              <w:right w:val="nil"/>
            </w:tcBorders>
          </w:tcPr>
          <w:p w14:paraId="5C658B15"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p>
        </w:tc>
        <w:tc>
          <w:tcPr>
            <w:tcW w:w="1305" w:type="dxa"/>
            <w:tcBorders>
              <w:top w:val="nil"/>
              <w:left w:val="nil"/>
              <w:bottom w:val="nil"/>
              <w:right w:val="nil"/>
            </w:tcBorders>
          </w:tcPr>
          <w:p w14:paraId="3E959758"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00" w:type="dxa"/>
            <w:tcBorders>
              <w:top w:val="nil"/>
              <w:left w:val="nil"/>
              <w:bottom w:val="nil"/>
              <w:right w:val="nil"/>
            </w:tcBorders>
          </w:tcPr>
          <w:p w14:paraId="0BDBE855"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r>
      <w:tr w:rsidR="0066671B" w14:paraId="58D5419C" w14:textId="77777777">
        <w:tc>
          <w:tcPr>
            <w:tcW w:w="2820" w:type="dxa"/>
            <w:tcBorders>
              <w:top w:val="nil"/>
              <w:left w:val="nil"/>
              <w:bottom w:val="nil"/>
              <w:right w:val="nil"/>
            </w:tcBorders>
          </w:tcPr>
          <w:p w14:paraId="7DC67742"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Our Ref: </w:t>
            </w:r>
          </w:p>
        </w:tc>
        <w:tc>
          <w:tcPr>
            <w:tcW w:w="2745" w:type="dxa"/>
            <w:tcBorders>
              <w:top w:val="nil"/>
              <w:left w:val="nil"/>
              <w:bottom w:val="nil"/>
              <w:right w:val="nil"/>
            </w:tcBorders>
          </w:tcPr>
          <w:p w14:paraId="41DA252C"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CONS/21/00302</w:t>
            </w:r>
          </w:p>
        </w:tc>
        <w:tc>
          <w:tcPr>
            <w:tcW w:w="1305" w:type="dxa"/>
            <w:tcBorders>
              <w:top w:val="nil"/>
              <w:left w:val="nil"/>
              <w:bottom w:val="nil"/>
              <w:right w:val="nil"/>
            </w:tcBorders>
          </w:tcPr>
          <w:p w14:paraId="68D0EF1C"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Your Ref: </w:t>
            </w:r>
          </w:p>
        </w:tc>
        <w:tc>
          <w:tcPr>
            <w:tcW w:w="2700" w:type="dxa"/>
            <w:tcBorders>
              <w:top w:val="nil"/>
              <w:left w:val="nil"/>
              <w:bottom w:val="nil"/>
              <w:right w:val="nil"/>
            </w:tcBorders>
          </w:tcPr>
          <w:p w14:paraId="3271F51E"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APP/20/01127</w:t>
            </w:r>
          </w:p>
        </w:tc>
      </w:tr>
      <w:tr w:rsidR="0066671B" w14:paraId="339CAD2E" w14:textId="77777777">
        <w:tc>
          <w:tcPr>
            <w:tcW w:w="2820" w:type="dxa"/>
            <w:tcBorders>
              <w:top w:val="nil"/>
              <w:left w:val="nil"/>
              <w:bottom w:val="nil"/>
              <w:right w:val="nil"/>
            </w:tcBorders>
          </w:tcPr>
          <w:p w14:paraId="0842E2FB"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45" w:type="dxa"/>
            <w:tcBorders>
              <w:top w:val="nil"/>
              <w:left w:val="nil"/>
              <w:bottom w:val="nil"/>
              <w:right w:val="nil"/>
            </w:tcBorders>
          </w:tcPr>
          <w:p w14:paraId="090A5A7A"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1305" w:type="dxa"/>
            <w:tcBorders>
              <w:top w:val="nil"/>
              <w:left w:val="nil"/>
              <w:bottom w:val="nil"/>
              <w:right w:val="nil"/>
            </w:tcBorders>
          </w:tcPr>
          <w:p w14:paraId="6D3DC300"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00" w:type="dxa"/>
            <w:tcBorders>
              <w:top w:val="nil"/>
              <w:left w:val="nil"/>
              <w:bottom w:val="nil"/>
              <w:right w:val="nil"/>
            </w:tcBorders>
          </w:tcPr>
          <w:p w14:paraId="756EB82E"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r>
      <w:tr w:rsidR="0066671B" w14:paraId="33FCA6A8" w14:textId="77777777">
        <w:tc>
          <w:tcPr>
            <w:tcW w:w="2820" w:type="dxa"/>
            <w:tcBorders>
              <w:top w:val="nil"/>
              <w:left w:val="nil"/>
              <w:bottom w:val="nil"/>
              <w:right w:val="nil"/>
            </w:tcBorders>
          </w:tcPr>
          <w:p w14:paraId="1CAC89EA"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EH Case Officer Extn:</w:t>
            </w:r>
          </w:p>
        </w:tc>
        <w:tc>
          <w:tcPr>
            <w:tcW w:w="2745" w:type="dxa"/>
            <w:tcBorders>
              <w:top w:val="nil"/>
              <w:left w:val="nil"/>
              <w:bottom w:val="nil"/>
              <w:right w:val="nil"/>
            </w:tcBorders>
          </w:tcPr>
          <w:p w14:paraId="2233A56F"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44 6677</w:t>
            </w:r>
          </w:p>
        </w:tc>
        <w:tc>
          <w:tcPr>
            <w:tcW w:w="1305" w:type="dxa"/>
            <w:tcBorders>
              <w:top w:val="nil"/>
              <w:left w:val="nil"/>
              <w:bottom w:val="nil"/>
              <w:right w:val="nil"/>
            </w:tcBorders>
          </w:tcPr>
          <w:p w14:paraId="325E5B7B"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Date: </w:t>
            </w:r>
          </w:p>
        </w:tc>
        <w:tc>
          <w:tcPr>
            <w:tcW w:w="2700" w:type="dxa"/>
            <w:tcBorders>
              <w:top w:val="nil"/>
              <w:left w:val="nil"/>
              <w:bottom w:val="nil"/>
              <w:right w:val="nil"/>
            </w:tcBorders>
          </w:tcPr>
          <w:p w14:paraId="68E85473"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11 May 2021</w:t>
            </w:r>
          </w:p>
        </w:tc>
      </w:tr>
    </w:tbl>
    <w:p w14:paraId="7E923D90"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bl>
      <w:tblPr>
        <w:tblW w:w="0" w:type="auto"/>
        <w:tblInd w:w="36" w:type="dxa"/>
        <w:tblLayout w:type="fixed"/>
        <w:tblCellMar>
          <w:left w:w="36" w:type="dxa"/>
          <w:right w:w="36" w:type="dxa"/>
        </w:tblCellMar>
        <w:tblLook w:val="0000" w:firstRow="0" w:lastRow="0" w:firstColumn="0" w:lastColumn="0" w:noHBand="0" w:noVBand="0"/>
      </w:tblPr>
      <w:tblGrid>
        <w:gridCol w:w="2820"/>
        <w:gridCol w:w="6735"/>
      </w:tblGrid>
      <w:tr w:rsidR="0066671B" w14:paraId="07718CC5" w14:textId="77777777">
        <w:tc>
          <w:tcPr>
            <w:tcW w:w="2820" w:type="dxa"/>
            <w:tcBorders>
              <w:top w:val="nil"/>
              <w:left w:val="nil"/>
              <w:bottom w:val="nil"/>
              <w:right w:val="nil"/>
            </w:tcBorders>
          </w:tcPr>
          <w:p w14:paraId="4B50C8E7"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DC Case Officer:</w:t>
            </w:r>
          </w:p>
        </w:tc>
        <w:tc>
          <w:tcPr>
            <w:tcW w:w="6735" w:type="dxa"/>
            <w:tcBorders>
              <w:top w:val="nil"/>
              <w:left w:val="nil"/>
              <w:bottom w:val="nil"/>
              <w:right w:val="nil"/>
            </w:tcBorders>
          </w:tcPr>
          <w:p w14:paraId="75382F0A"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r>
              <w:rPr>
                <w:b/>
                <w:bCs/>
                <w:color w:val="000000"/>
                <w:sz w:val="22"/>
                <w:szCs w:val="22"/>
              </w:rPr>
              <w:t xml:space="preserve"> </w:t>
            </w:r>
            <w:r>
              <w:rPr>
                <w:color w:val="000000"/>
                <w:sz w:val="22"/>
                <w:szCs w:val="22"/>
              </w:rPr>
              <w:t>Lewis Oliver</w:t>
            </w:r>
          </w:p>
        </w:tc>
      </w:tr>
      <w:tr w:rsidR="0066671B" w14:paraId="15E5BD24" w14:textId="77777777">
        <w:tc>
          <w:tcPr>
            <w:tcW w:w="2820" w:type="dxa"/>
            <w:tcBorders>
              <w:top w:val="nil"/>
              <w:left w:val="nil"/>
              <w:bottom w:val="nil"/>
              <w:right w:val="nil"/>
            </w:tcBorders>
          </w:tcPr>
          <w:p w14:paraId="2A32180A"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DC Case Officer Extn: </w:t>
            </w:r>
          </w:p>
        </w:tc>
        <w:tc>
          <w:tcPr>
            <w:tcW w:w="6735" w:type="dxa"/>
            <w:tcBorders>
              <w:top w:val="nil"/>
              <w:left w:val="nil"/>
              <w:bottom w:val="nil"/>
              <w:right w:val="nil"/>
            </w:tcBorders>
          </w:tcPr>
          <w:p w14:paraId="5ED1137E"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44 6263</w:t>
            </w:r>
          </w:p>
        </w:tc>
      </w:tr>
      <w:tr w:rsidR="0066671B" w14:paraId="1DA1F873" w14:textId="77777777">
        <w:tc>
          <w:tcPr>
            <w:tcW w:w="2820" w:type="dxa"/>
            <w:tcBorders>
              <w:top w:val="nil"/>
              <w:left w:val="nil"/>
              <w:bottom w:val="nil"/>
              <w:right w:val="nil"/>
            </w:tcBorders>
          </w:tcPr>
          <w:p w14:paraId="2995C4ED"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Application Number:</w:t>
            </w:r>
          </w:p>
        </w:tc>
        <w:tc>
          <w:tcPr>
            <w:tcW w:w="6735" w:type="dxa"/>
            <w:tcBorders>
              <w:top w:val="nil"/>
              <w:left w:val="nil"/>
              <w:bottom w:val="nil"/>
              <w:right w:val="nil"/>
            </w:tcBorders>
          </w:tcPr>
          <w:p w14:paraId="71B0906F"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APP/20/01127</w:t>
            </w:r>
          </w:p>
        </w:tc>
      </w:tr>
      <w:tr w:rsidR="0066671B" w14:paraId="0A2F040A" w14:textId="77777777" w:rsidTr="0066671B">
        <w:trPr>
          <w:trHeight w:val="617"/>
        </w:trPr>
        <w:tc>
          <w:tcPr>
            <w:tcW w:w="2820" w:type="dxa"/>
            <w:tcBorders>
              <w:top w:val="nil"/>
              <w:left w:val="nil"/>
              <w:bottom w:val="nil"/>
              <w:right w:val="nil"/>
            </w:tcBorders>
          </w:tcPr>
          <w:p w14:paraId="69C50CA5"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Site Address: </w:t>
            </w:r>
          </w:p>
        </w:tc>
        <w:tc>
          <w:tcPr>
            <w:tcW w:w="6735" w:type="dxa"/>
            <w:tcBorders>
              <w:top w:val="nil"/>
              <w:left w:val="nil"/>
              <w:bottom w:val="nil"/>
              <w:right w:val="nil"/>
            </w:tcBorders>
          </w:tcPr>
          <w:p w14:paraId="478310F9" w14:textId="3C6B6263" w:rsidR="0066671B" w:rsidRDefault="0066671B" w:rsidP="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127"/>
              <w:rPr>
                <w:b/>
                <w:bCs/>
                <w:color w:val="000000"/>
                <w:sz w:val="22"/>
                <w:szCs w:val="22"/>
              </w:rPr>
            </w:pPr>
            <w:r>
              <w:rPr>
                <w:color w:val="000000"/>
                <w:sz w:val="22"/>
                <w:szCs w:val="22"/>
              </w:rPr>
              <w:t>Mill Rythe Holiday Village 16 Havant Road, Hayling Island,  PO110PB</w:t>
            </w:r>
          </w:p>
        </w:tc>
      </w:tr>
      <w:tr w:rsidR="0066671B" w14:paraId="76B93EA0" w14:textId="77777777" w:rsidTr="0066671B">
        <w:trPr>
          <w:trHeight w:val="2411"/>
        </w:trPr>
        <w:tc>
          <w:tcPr>
            <w:tcW w:w="2820" w:type="dxa"/>
            <w:tcBorders>
              <w:top w:val="nil"/>
              <w:left w:val="nil"/>
              <w:bottom w:val="single" w:sz="8" w:space="0" w:color="auto"/>
              <w:right w:val="nil"/>
            </w:tcBorders>
          </w:tcPr>
          <w:p w14:paraId="48BAB678"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Proposed Development: </w:t>
            </w:r>
          </w:p>
        </w:tc>
        <w:tc>
          <w:tcPr>
            <w:tcW w:w="6735" w:type="dxa"/>
            <w:tcBorders>
              <w:top w:val="nil"/>
              <w:left w:val="nil"/>
              <w:bottom w:val="single" w:sz="8" w:space="0" w:color="auto"/>
              <w:right w:val="nil"/>
            </w:tcBorders>
          </w:tcPr>
          <w:p w14:paraId="74122242" w14:textId="3AE9ECEA" w:rsidR="0066671B" w:rsidRPr="0066671B" w:rsidRDefault="0066671B" w:rsidP="0066671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38"/>
                <w:tab w:val="left" w:pos="8640"/>
                <w:tab w:val="left" w:pos="9360"/>
                <w:tab w:val="left" w:pos="10080"/>
              </w:tabs>
              <w:ind w:left="127"/>
              <w:rPr>
                <w:color w:val="000000"/>
                <w:sz w:val="22"/>
                <w:szCs w:val="22"/>
              </w:rPr>
            </w:pPr>
            <w:r>
              <w:rPr>
                <w:color w:val="000000"/>
                <w:sz w:val="22"/>
                <w:szCs w:val="22"/>
              </w:rPr>
              <w:t>Application for full planning permission, pursuant to APP/16/01237, for the redevelopment of the holiday site including the demolition of redundant chalets, use of land for the siting of 112 holiday caravans with areas of open recreational space, cease the use of the land for pitch and putt purposes and retain the remaining pitch and putt area as a managed wildlife area including the  provision of an ecology bund &amp; ditch, landscaping, the siting of three bird hides with bat roost in their roof spaces and a mown 'circular wildlife walkway'.</w:t>
            </w:r>
          </w:p>
        </w:tc>
      </w:tr>
    </w:tbl>
    <w:p w14:paraId="3BA47BAF"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p>
    <w:p w14:paraId="4A5C8D7A"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sz w:val="22"/>
          <w:szCs w:val="22"/>
        </w:rPr>
      </w:pPr>
      <w:r>
        <w:rPr>
          <w:b/>
          <w:bCs/>
          <w:sz w:val="22"/>
          <w:szCs w:val="22"/>
        </w:rPr>
        <w:t>Observations / Comments:</w:t>
      </w:r>
    </w:p>
    <w:p w14:paraId="5BAC5A8F"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p>
    <w:p w14:paraId="6DD915F0" w14:textId="26220149"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r>
        <w:rPr>
          <w:sz w:val="22"/>
          <w:szCs w:val="22"/>
        </w:rPr>
        <w:t xml:space="preserve">  I have reviewed the application documents alongside the responses of relevant consultees.  I note that </w:t>
      </w:r>
      <w:r w:rsidRPr="00162031">
        <w:rPr>
          <w:sz w:val="22"/>
          <w:szCs w:val="22"/>
        </w:rPr>
        <w:t xml:space="preserve">others have requested specific conditions in respect of SuDS and approval of a Construction Management Plan.  The proposed conditions will be adequate to address any pollution control concerns that Environmental Health might have, and I have no additional comments to add. </w:t>
      </w:r>
    </w:p>
    <w:p w14:paraId="6FA44FD3" w14:textId="5AEE9C0B"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p>
    <w:p w14:paraId="0EE527DE" w14:textId="0EBD240B"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i/>
          <w:iCs/>
          <w:sz w:val="22"/>
          <w:szCs w:val="22"/>
        </w:rPr>
      </w:pPr>
      <w:r w:rsidRPr="00162031">
        <w:rPr>
          <w:i/>
          <w:iCs/>
          <w:sz w:val="22"/>
          <w:szCs w:val="22"/>
        </w:rPr>
        <w:t>Air Quality</w:t>
      </w:r>
    </w:p>
    <w:p w14:paraId="3C2B89DB" w14:textId="091C6ED3"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p>
    <w:p w14:paraId="22D44A4E" w14:textId="3D006DF2"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r w:rsidRPr="00162031">
        <w:rPr>
          <w:sz w:val="22"/>
          <w:szCs w:val="22"/>
        </w:rPr>
        <w:t xml:space="preserve">  The marginally expanded travel demand is likely to be negligible in air quality terms.</w:t>
      </w:r>
    </w:p>
    <w:p w14:paraId="5486BC4C" w14:textId="4FF29237"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p>
    <w:p w14:paraId="27E02352" w14:textId="5D8BB6C8"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i/>
          <w:iCs/>
          <w:sz w:val="22"/>
          <w:szCs w:val="22"/>
        </w:rPr>
      </w:pPr>
      <w:r w:rsidRPr="00162031">
        <w:rPr>
          <w:i/>
          <w:iCs/>
          <w:sz w:val="22"/>
          <w:szCs w:val="22"/>
        </w:rPr>
        <w:t>Contamination</w:t>
      </w:r>
    </w:p>
    <w:p w14:paraId="6D545F29" w14:textId="53F00A92" w:rsidR="0066671B" w:rsidRPr="00162031"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sz w:val="22"/>
          <w:szCs w:val="22"/>
        </w:rPr>
      </w:pPr>
    </w:p>
    <w:p w14:paraId="11CD3017" w14:textId="58A11878" w:rsidR="00CB1146" w:rsidRPr="00162031" w:rsidRDefault="00CB1146" w:rsidP="00CB1146">
      <w:pPr>
        <w:rPr>
          <w:rFonts w:ascii="Arial" w:hAnsi="Arial" w:cs="Arial"/>
        </w:rPr>
      </w:pPr>
      <w:r w:rsidRPr="00162031">
        <w:rPr>
          <w:rFonts w:ascii="Arial" w:hAnsi="Arial" w:cs="Arial"/>
        </w:rPr>
        <w:t xml:space="preserve">  I note that the Planning Statement refers to condition 12 (Contamination assessment and remediation / risk mitigation) &amp; condition 13 (verification) of APP/16/01237 as having been discharged under applications dated January, April, and June 2018.</w:t>
      </w:r>
    </w:p>
    <w:p w14:paraId="07BA9BAE" w14:textId="42D2074A" w:rsidR="00CB1146" w:rsidRPr="00162031" w:rsidRDefault="00CB1146" w:rsidP="00CB1146">
      <w:pPr>
        <w:pStyle w:val="ListParagraph"/>
        <w:ind w:left="0"/>
        <w:rPr>
          <w:rFonts w:ascii="Arial" w:hAnsi="Arial" w:cs="Arial"/>
        </w:rPr>
      </w:pPr>
      <w:r w:rsidRPr="00162031">
        <w:rPr>
          <w:rFonts w:ascii="Arial" w:hAnsi="Arial" w:cs="Arial"/>
        </w:rPr>
        <w:t xml:space="preserve">  I would highlight that Environmental Health recommended a spatial discharge of APP/16/01237 c.12 in relation of a spatially limited area of the application red-line area, broadly corresponding to the 10 constructed units referenced in this application.  See </w:t>
      </w:r>
      <w:r w:rsidRPr="00162031">
        <w:rPr>
          <w:rFonts w:ascii="Arial" w:hAnsi="Arial" w:cs="Arial"/>
          <w:color w:val="000000"/>
        </w:rPr>
        <w:t>CONS/20/00677</w:t>
      </w:r>
      <w:r w:rsidRPr="00162031">
        <w:rPr>
          <w:rFonts w:ascii="Arial" w:hAnsi="Arial" w:cs="Arial"/>
        </w:rPr>
        <w:t xml:space="preserve"> dated 17/04/202</w:t>
      </w:r>
      <w:r w:rsidR="00DB338D" w:rsidRPr="00162031">
        <w:rPr>
          <w:rFonts w:ascii="Arial" w:hAnsi="Arial" w:cs="Arial"/>
        </w:rPr>
        <w:t xml:space="preserve">0, which recommended discharge in respect of </w:t>
      </w:r>
      <w:r w:rsidR="00DB338D" w:rsidRPr="00162031">
        <w:rPr>
          <w:rFonts w:ascii="Arial" w:hAnsi="Arial" w:cs="Arial"/>
          <w:i/>
          <w:iCs/>
        </w:rPr>
        <w:t>the area indicated on plan no. 4356-500-ph1 (Sept-19) identified by the ‘red-dashed-hatch’ mark-up.</w:t>
      </w:r>
    </w:p>
    <w:p w14:paraId="0E6E74D5" w14:textId="3E84C5C7" w:rsidR="00DB338D" w:rsidRPr="00162031" w:rsidRDefault="00DB338D" w:rsidP="00CB1146">
      <w:pPr>
        <w:pStyle w:val="ListParagraph"/>
        <w:ind w:left="0"/>
        <w:rPr>
          <w:rFonts w:ascii="Arial" w:hAnsi="Arial" w:cs="Arial"/>
        </w:rPr>
      </w:pPr>
    </w:p>
    <w:p w14:paraId="1CF313F7" w14:textId="32A94014" w:rsidR="00CB1146" w:rsidRPr="00162031" w:rsidRDefault="00DB338D" w:rsidP="00DB338D">
      <w:pPr>
        <w:pStyle w:val="ListParagraph"/>
        <w:ind w:left="0"/>
        <w:rPr>
          <w:rFonts w:ascii="Arial" w:hAnsi="Arial" w:cs="Arial"/>
        </w:rPr>
      </w:pPr>
      <w:r w:rsidRPr="00162031">
        <w:rPr>
          <w:rFonts w:ascii="Arial" w:hAnsi="Arial" w:cs="Arial"/>
        </w:rPr>
        <w:t xml:space="preserve">  My understanding is that the current application includes land previously included within the APP/16/01237 consent where c.12 &amp; c13 still apply. For this reason, I have no objection to the current proposals subject to the </w:t>
      </w:r>
      <w:r w:rsidR="000F46EA" w:rsidRPr="00162031">
        <w:rPr>
          <w:rFonts w:ascii="Arial" w:hAnsi="Arial" w:cs="Arial"/>
        </w:rPr>
        <w:t xml:space="preserve">general principles of these </w:t>
      </w:r>
      <w:r w:rsidRPr="00162031">
        <w:rPr>
          <w:rFonts w:ascii="Arial" w:hAnsi="Arial" w:cs="Arial"/>
        </w:rPr>
        <w:t xml:space="preserve">conditions being </w:t>
      </w:r>
      <w:r w:rsidR="00CB1146" w:rsidRPr="00162031">
        <w:rPr>
          <w:rFonts w:ascii="Arial" w:hAnsi="Arial" w:cs="Arial"/>
        </w:rPr>
        <w:t>transposed to any consent granted.</w:t>
      </w:r>
    </w:p>
    <w:p w14:paraId="3DB00094" w14:textId="43425A9A" w:rsidR="00CB1146" w:rsidRPr="00162031" w:rsidRDefault="000F46EA" w:rsidP="00CB1146">
      <w:pPr>
        <w:rPr>
          <w:rFonts w:ascii="Arial" w:hAnsi="Arial" w:cs="Arial"/>
        </w:rPr>
      </w:pPr>
      <w:r w:rsidRPr="00162031">
        <w:rPr>
          <w:rFonts w:ascii="Arial" w:hAnsi="Arial" w:cs="Arial"/>
        </w:rPr>
        <w:t xml:space="preserve">  I would suggest a revised wording for c.12 to reflect the submissions to date (EDS &amp; UXO Risk Assessment), wording as below.  I have also reproduced the wording of c.13 </w:t>
      </w:r>
      <w:r w:rsidR="00CB1146" w:rsidRPr="00162031">
        <w:rPr>
          <w:rFonts w:ascii="Arial" w:hAnsi="Arial" w:cs="Arial"/>
        </w:rPr>
        <w:t>below</w:t>
      </w:r>
      <w:r w:rsidRPr="00162031">
        <w:rPr>
          <w:rFonts w:ascii="Arial" w:hAnsi="Arial" w:cs="Arial"/>
        </w:rPr>
        <w:t>, for convenience.</w:t>
      </w:r>
      <w:r w:rsidR="00162031" w:rsidRPr="00162031">
        <w:rPr>
          <w:rFonts w:ascii="Arial" w:hAnsi="Arial" w:cs="Arial"/>
        </w:rPr>
        <w:t xml:space="preserve">  Reason has been updated for consistency.</w:t>
      </w:r>
      <w:r w:rsidRPr="00162031">
        <w:rPr>
          <w:rFonts w:ascii="Arial" w:hAnsi="Arial" w:cs="Arial"/>
        </w:rPr>
        <w:t xml:space="preserve"> Both </w:t>
      </w:r>
      <w:r w:rsidR="00162031" w:rsidRPr="00162031">
        <w:rPr>
          <w:rFonts w:ascii="Arial" w:hAnsi="Arial" w:cs="Arial"/>
        </w:rPr>
        <w:t xml:space="preserve">conditions are </w:t>
      </w:r>
      <w:r w:rsidRPr="00162031">
        <w:rPr>
          <w:rFonts w:ascii="Arial" w:hAnsi="Arial" w:cs="Arial"/>
        </w:rPr>
        <w:t xml:space="preserve">required. </w:t>
      </w:r>
    </w:p>
    <w:p w14:paraId="2412F360" w14:textId="243F9C34" w:rsidR="00CB1146" w:rsidRPr="00162031" w:rsidRDefault="00CB1146" w:rsidP="00CB1146">
      <w:pPr>
        <w:rPr>
          <w:rFonts w:ascii="Arial" w:hAnsi="Arial" w:cs="Arial"/>
          <w:b/>
          <w:bCs/>
        </w:rPr>
      </w:pPr>
      <w:r w:rsidRPr="00162031">
        <w:rPr>
          <w:rFonts w:ascii="Arial" w:hAnsi="Arial" w:cs="Arial"/>
          <w:b/>
          <w:bCs/>
        </w:rPr>
        <w:t xml:space="preserve">C.12 </w:t>
      </w:r>
      <w:r w:rsidR="00DB338D" w:rsidRPr="00162031">
        <w:rPr>
          <w:rFonts w:ascii="Arial" w:hAnsi="Arial" w:cs="Arial"/>
          <w:b/>
          <w:bCs/>
        </w:rPr>
        <w:t>(</w:t>
      </w:r>
      <w:r w:rsidRPr="00162031">
        <w:rPr>
          <w:rFonts w:ascii="Arial" w:hAnsi="Arial" w:cs="Arial"/>
          <w:b/>
          <w:bCs/>
        </w:rPr>
        <w:t>Contami</w:t>
      </w:r>
      <w:r w:rsidR="00DB338D" w:rsidRPr="00162031">
        <w:rPr>
          <w:rFonts w:ascii="Arial" w:hAnsi="Arial" w:cs="Arial"/>
          <w:b/>
          <w:bCs/>
        </w:rPr>
        <w:t>na</w:t>
      </w:r>
      <w:r w:rsidRPr="00162031">
        <w:rPr>
          <w:rFonts w:ascii="Arial" w:hAnsi="Arial" w:cs="Arial"/>
          <w:b/>
          <w:bCs/>
        </w:rPr>
        <w:t>tion</w:t>
      </w:r>
      <w:r w:rsidR="00DB338D" w:rsidRPr="00162031">
        <w:rPr>
          <w:rFonts w:ascii="Arial" w:hAnsi="Arial" w:cs="Arial"/>
          <w:b/>
          <w:bCs/>
        </w:rPr>
        <w:t>)</w:t>
      </w:r>
    </w:p>
    <w:p w14:paraId="18838174" w14:textId="77777777" w:rsidR="00E70C08" w:rsidRPr="00162031" w:rsidRDefault="00E70C08" w:rsidP="00E70C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color w:val="000000"/>
          <w:sz w:val="20"/>
          <w:szCs w:val="20"/>
        </w:rPr>
      </w:pPr>
      <w:r w:rsidRPr="00162031">
        <w:rPr>
          <w:rFonts w:ascii="Arial" w:hAnsi="Arial" w:cs="Arial"/>
          <w:b/>
          <w:bCs/>
          <w:snapToGrid w:val="0"/>
          <w:color w:val="000000"/>
          <w:sz w:val="20"/>
          <w:szCs w:val="20"/>
        </w:rPr>
        <w:t>Contamination (Standard – omitting EDS, based upon submitted EDS proposals) [1]</w:t>
      </w:r>
    </w:p>
    <w:p w14:paraId="0809FC83" w14:textId="77777777" w:rsidR="00E70C08" w:rsidRPr="00162031" w:rsidRDefault="00E70C08" w:rsidP="00E70C0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both"/>
        <w:rPr>
          <w:rFonts w:ascii="Arial" w:hAnsi="Arial" w:cs="Arial"/>
        </w:rPr>
      </w:pPr>
    </w:p>
    <w:p w14:paraId="0228D801" w14:textId="60E90446" w:rsidR="00E70C08" w:rsidRPr="00162031" w:rsidRDefault="00E70C08" w:rsidP="00E70C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426" w:right="368"/>
        <w:jc w:val="both"/>
        <w:rPr>
          <w:rFonts w:ascii="Arial" w:hAnsi="Arial" w:cs="Arial"/>
          <w:i/>
          <w:iCs/>
          <w:sz w:val="20"/>
          <w:szCs w:val="20"/>
        </w:rPr>
      </w:pPr>
      <w:r w:rsidRPr="00162031">
        <w:rPr>
          <w:rFonts w:ascii="Arial" w:hAnsi="Arial" w:cs="Arial"/>
          <w:i/>
          <w:iCs/>
          <w:sz w:val="20"/>
          <w:szCs w:val="20"/>
        </w:rPr>
        <w:t xml:space="preserve">Prior to the commencement of any specific phase of development approved by this planning permission (or such other date or stage in development as may be agreed in writing with the Local Planning Authority), an assessment of the nature and extent of contamination at the site, whether originating from within or outside the curtilage, shall be submitted to and approved in writing by the Local Planning Authority. </w:t>
      </w:r>
    </w:p>
    <w:p w14:paraId="7D082926" w14:textId="77777777" w:rsidR="00E70C08" w:rsidRPr="00162031" w:rsidRDefault="00E70C08" w:rsidP="00E70C08">
      <w:pPr>
        <w:pStyle w:val="Normal0"/>
        <w:jc w:val="both"/>
        <w:rPr>
          <w:i/>
          <w:iCs/>
          <w:color w:val="FF0000"/>
          <w:sz w:val="20"/>
          <w:szCs w:val="20"/>
        </w:rPr>
      </w:pPr>
    </w:p>
    <w:p w14:paraId="577DC374" w14:textId="77777777" w:rsidR="00E70C08" w:rsidRPr="00162031" w:rsidRDefault="00E70C08" w:rsidP="00E70C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426" w:right="368"/>
        <w:jc w:val="both"/>
        <w:rPr>
          <w:rFonts w:ascii="Arial" w:hAnsi="Arial" w:cs="Arial"/>
          <w:i/>
          <w:iCs/>
          <w:sz w:val="20"/>
          <w:szCs w:val="20"/>
        </w:rPr>
      </w:pPr>
      <w:r w:rsidRPr="00162031">
        <w:rPr>
          <w:rFonts w:ascii="Arial" w:hAnsi="Arial" w:cs="Arial"/>
          <w:i/>
          <w:iCs/>
          <w:sz w:val="20"/>
          <w:szCs w:val="20"/>
        </w:rPr>
        <w:t>The assessment may comprise separate reports as appropriate, but shall be undertaken by competent persons and unless specifically excluded in writing by the Local Planning Authority, shall include;</w:t>
      </w:r>
    </w:p>
    <w:p w14:paraId="0EC0177B" w14:textId="77777777" w:rsidR="00E70C08" w:rsidRPr="00162031" w:rsidRDefault="00E70C08" w:rsidP="00E70C08">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567" w:right="368"/>
        <w:jc w:val="both"/>
        <w:rPr>
          <w:rFonts w:ascii="Arial" w:hAnsi="Arial" w:cs="Arial"/>
          <w:i/>
          <w:iCs/>
          <w:sz w:val="20"/>
          <w:szCs w:val="20"/>
        </w:rPr>
      </w:pPr>
    </w:p>
    <w:p w14:paraId="7A517118" w14:textId="405CD6CF" w:rsidR="00E70C08" w:rsidRPr="00162031" w:rsidRDefault="00E70C08" w:rsidP="00E70C08">
      <w:pPr>
        <w:numPr>
          <w:ilvl w:val="0"/>
          <w:numId w:val="4"/>
        </w:numPr>
        <w:tabs>
          <w:tab w:val="left" w:pos="851"/>
          <w:tab w:val="left" w:pos="15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368"/>
        <w:jc w:val="both"/>
        <w:rPr>
          <w:rFonts w:ascii="Arial" w:hAnsi="Arial" w:cs="Arial"/>
          <w:i/>
          <w:iCs/>
          <w:sz w:val="20"/>
          <w:szCs w:val="20"/>
        </w:rPr>
      </w:pPr>
      <w:r w:rsidRPr="00162031">
        <w:rPr>
          <w:rFonts w:ascii="Arial" w:hAnsi="Arial" w:cs="Arial"/>
          <w:i/>
          <w:iCs/>
          <w:sz w:val="20"/>
          <w:szCs w:val="20"/>
        </w:rPr>
        <w:t xml:space="preserve">An intrusive site investigation based on the proposals outlined within the </w:t>
      </w:r>
      <w:r w:rsidR="000F46EA" w:rsidRPr="00162031">
        <w:rPr>
          <w:rFonts w:ascii="Arial" w:hAnsi="Arial" w:cs="Arial"/>
          <w:i/>
          <w:iCs/>
          <w:sz w:val="20"/>
          <w:szCs w:val="20"/>
        </w:rPr>
        <w:t>ASI Ltd. Preliminary Ground Contamination Risk Assessment Report Ref: R17-12377/ds Aug 2017 Rev.1.0</w:t>
      </w:r>
      <w:r w:rsidRPr="00162031">
        <w:rPr>
          <w:rFonts w:ascii="Arial" w:hAnsi="Arial" w:cs="Arial"/>
          <w:i/>
          <w:iCs/>
          <w:sz w:val="20"/>
          <w:szCs w:val="20"/>
        </w:rPr>
        <w:t>; to provide sufficient data and information to adequately identify &amp; characterise any physical contamination on or affecting the site, and to inform an appropriate assessment of the risks to all identified receptors.</w:t>
      </w:r>
    </w:p>
    <w:p w14:paraId="216C9464" w14:textId="77777777" w:rsidR="00E70C08" w:rsidRPr="00162031" w:rsidRDefault="00E70C08" w:rsidP="00E70C08">
      <w:pPr>
        <w:tabs>
          <w:tab w:val="left" w:pos="851"/>
          <w:tab w:val="left" w:pos="15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1543" w:right="368"/>
        <w:jc w:val="both"/>
        <w:rPr>
          <w:rFonts w:ascii="Arial" w:hAnsi="Arial" w:cs="Arial"/>
          <w:i/>
          <w:iCs/>
          <w:sz w:val="20"/>
          <w:szCs w:val="20"/>
        </w:rPr>
      </w:pPr>
    </w:p>
    <w:p w14:paraId="5D857EBE" w14:textId="77777777" w:rsidR="00E70C08" w:rsidRPr="00162031" w:rsidRDefault="00E70C08" w:rsidP="00E70C08">
      <w:pPr>
        <w:numPr>
          <w:ilvl w:val="0"/>
          <w:numId w:val="4"/>
        </w:numPr>
        <w:tabs>
          <w:tab w:val="left" w:pos="851"/>
          <w:tab w:val="left" w:pos="15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368"/>
        <w:jc w:val="both"/>
        <w:rPr>
          <w:rFonts w:ascii="Arial" w:hAnsi="Arial" w:cs="Arial"/>
          <w:i/>
          <w:iCs/>
          <w:sz w:val="20"/>
          <w:szCs w:val="20"/>
        </w:rPr>
      </w:pPr>
      <w:r w:rsidRPr="00162031">
        <w:rPr>
          <w:rFonts w:ascii="Arial" w:hAnsi="Arial" w:cs="Arial"/>
          <w:i/>
          <w:iCs/>
          <w:sz w:val="20"/>
          <w:szCs w:val="20"/>
        </w:rPr>
        <w:t>The results of an appropriate risk assessment based upon (1), and where unacceptable risks are identified, a Remediation Strategy that includes;</w:t>
      </w:r>
    </w:p>
    <w:p w14:paraId="655C24A0" w14:textId="77777777" w:rsidR="00E70C08" w:rsidRPr="00162031" w:rsidRDefault="00E70C08" w:rsidP="00E70C08">
      <w:pPr>
        <w:numPr>
          <w:ilvl w:val="1"/>
          <w:numId w:val="3"/>
        </w:numPr>
        <w:tabs>
          <w:tab w:val="left" w:pos="851"/>
          <w:tab w:val="left" w:pos="226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2263" w:right="368"/>
        <w:jc w:val="both"/>
        <w:rPr>
          <w:rFonts w:ascii="Arial" w:hAnsi="Arial" w:cs="Arial"/>
          <w:i/>
          <w:iCs/>
          <w:sz w:val="20"/>
          <w:szCs w:val="20"/>
        </w:rPr>
      </w:pPr>
      <w:r w:rsidRPr="00162031">
        <w:rPr>
          <w:rFonts w:ascii="Arial" w:hAnsi="Arial" w:cs="Arial"/>
          <w:i/>
          <w:iCs/>
          <w:sz w:val="20"/>
          <w:szCs w:val="20"/>
        </w:rPr>
        <w:t>appropriately considered remedial objectives,</w:t>
      </w:r>
    </w:p>
    <w:p w14:paraId="1AF5F3A8" w14:textId="77777777" w:rsidR="00E70C08" w:rsidRPr="00162031" w:rsidRDefault="00E70C08" w:rsidP="00E70C08">
      <w:pPr>
        <w:numPr>
          <w:ilvl w:val="1"/>
          <w:numId w:val="3"/>
        </w:numPr>
        <w:tabs>
          <w:tab w:val="left" w:pos="851"/>
          <w:tab w:val="left" w:pos="226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2263" w:right="368"/>
        <w:jc w:val="both"/>
        <w:rPr>
          <w:rFonts w:ascii="Arial" w:hAnsi="Arial" w:cs="Arial"/>
          <w:i/>
          <w:iCs/>
          <w:sz w:val="20"/>
          <w:szCs w:val="20"/>
        </w:rPr>
      </w:pPr>
      <w:r w:rsidRPr="00162031">
        <w:rPr>
          <w:rFonts w:ascii="Arial" w:hAnsi="Arial" w:cs="Arial"/>
          <w:i/>
          <w:iCs/>
          <w:sz w:val="20"/>
          <w:szCs w:val="20"/>
        </w:rPr>
        <w:t>an appraisal of remedial &amp;/or risk mitigation options, having due regard to sustainability, and;</w:t>
      </w:r>
    </w:p>
    <w:p w14:paraId="68912C3A" w14:textId="77777777" w:rsidR="00E70C08" w:rsidRPr="00162031" w:rsidRDefault="00E70C08" w:rsidP="00E70C08">
      <w:pPr>
        <w:numPr>
          <w:ilvl w:val="1"/>
          <w:numId w:val="3"/>
        </w:numPr>
        <w:tabs>
          <w:tab w:val="left" w:pos="851"/>
          <w:tab w:val="left" w:pos="226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2263" w:right="368"/>
        <w:jc w:val="both"/>
        <w:rPr>
          <w:rFonts w:ascii="Arial" w:hAnsi="Arial" w:cs="Arial"/>
          <w:i/>
          <w:iCs/>
          <w:sz w:val="20"/>
          <w:szCs w:val="20"/>
        </w:rPr>
      </w:pPr>
      <w:r w:rsidRPr="00162031">
        <w:rPr>
          <w:rFonts w:ascii="Arial" w:hAnsi="Arial" w:cs="Arial"/>
          <w:i/>
          <w:iCs/>
          <w:sz w:val="20"/>
          <w:szCs w:val="20"/>
        </w:rPr>
        <w:t>clearly defined proposals for mitigation of the identified risks.</w:t>
      </w:r>
    </w:p>
    <w:p w14:paraId="245A8FC1" w14:textId="77777777" w:rsidR="00E70C08" w:rsidRPr="00162031" w:rsidRDefault="00E70C08" w:rsidP="00E70C08">
      <w:pPr>
        <w:tabs>
          <w:tab w:val="left" w:pos="851"/>
          <w:tab w:val="left" w:pos="15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1543" w:right="368"/>
        <w:jc w:val="both"/>
        <w:rPr>
          <w:rFonts w:ascii="Arial" w:hAnsi="Arial" w:cs="Arial"/>
          <w:i/>
          <w:iCs/>
          <w:sz w:val="20"/>
          <w:szCs w:val="20"/>
        </w:rPr>
      </w:pPr>
    </w:p>
    <w:p w14:paraId="41499B0E" w14:textId="77777777" w:rsidR="00E70C08" w:rsidRPr="00162031" w:rsidRDefault="00E70C08" w:rsidP="00E70C08">
      <w:pPr>
        <w:widowControl/>
        <w:numPr>
          <w:ilvl w:val="0"/>
          <w:numId w:val="4"/>
        </w:numPr>
        <w:tabs>
          <w:tab w:val="left" w:pos="851"/>
          <w:tab w:val="left" w:pos="15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368"/>
        <w:jc w:val="both"/>
        <w:rPr>
          <w:rFonts w:ascii="Arial" w:hAnsi="Arial" w:cs="Arial"/>
          <w:i/>
          <w:iCs/>
          <w:sz w:val="20"/>
          <w:szCs w:val="20"/>
        </w:rPr>
      </w:pPr>
      <w:bookmarkStart w:id="0" w:name="_Hlk52455028"/>
      <w:r w:rsidRPr="00162031">
        <w:rPr>
          <w:rFonts w:ascii="Arial" w:hAnsi="Arial" w:cs="Arial"/>
          <w:i/>
          <w:iCs/>
          <w:sz w:val="20"/>
          <w:szCs w:val="20"/>
        </w:rPr>
        <w:t>A verification plan providing details of the data that will be collected in order to demonstrate that the works set out any Remediation Strategy required under (2) are complete</w:t>
      </w:r>
      <w:bookmarkEnd w:id="0"/>
      <w:r w:rsidRPr="00162031">
        <w:rPr>
          <w:rFonts w:ascii="Arial" w:hAnsi="Arial" w:cs="Arial"/>
          <w:i/>
          <w:iCs/>
          <w:sz w:val="20"/>
          <w:szCs w:val="20"/>
        </w:rPr>
        <w:t xml:space="preserve">, identifying any requirements for longer-term monitoring of pollutant linkages, maintenance of engineered mitigation measures, and arrangements for contingency action. </w:t>
      </w:r>
    </w:p>
    <w:p w14:paraId="3FCE4DEA" w14:textId="77777777" w:rsidR="00E70C08" w:rsidRPr="00162031" w:rsidRDefault="00E70C08" w:rsidP="00E70C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368"/>
        <w:jc w:val="both"/>
        <w:rPr>
          <w:rFonts w:ascii="Arial" w:hAnsi="Arial" w:cs="Arial"/>
          <w:i/>
          <w:iCs/>
          <w:sz w:val="20"/>
          <w:szCs w:val="20"/>
        </w:rPr>
      </w:pPr>
    </w:p>
    <w:p w14:paraId="688FDE13" w14:textId="77777777" w:rsidR="00E70C08" w:rsidRPr="00162031" w:rsidRDefault="00E70C08" w:rsidP="00E70C08">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426" w:right="368"/>
        <w:jc w:val="both"/>
        <w:rPr>
          <w:rFonts w:ascii="Arial" w:hAnsi="Arial" w:cs="Arial"/>
          <w:i/>
          <w:iCs/>
          <w:sz w:val="20"/>
          <w:szCs w:val="20"/>
        </w:rPr>
      </w:pPr>
      <w:r w:rsidRPr="00162031">
        <w:rPr>
          <w:rFonts w:ascii="Arial" w:hAnsi="Arial" w:cs="Arial"/>
          <w:i/>
          <w:iCs/>
          <w:sz w:val="20"/>
          <w:szCs w:val="20"/>
        </w:rPr>
        <w:t>All elements shall be adhered to unless agreed in writing by the Local Planning Authority.</w:t>
      </w:r>
    </w:p>
    <w:p w14:paraId="72477776" w14:textId="77777777" w:rsidR="00E70C08" w:rsidRPr="00162031" w:rsidRDefault="00E70C08" w:rsidP="00E70C08">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426" w:right="368"/>
        <w:jc w:val="both"/>
        <w:rPr>
          <w:rFonts w:ascii="Arial" w:hAnsi="Arial" w:cs="Arial"/>
          <w:i/>
          <w:iCs/>
          <w:sz w:val="20"/>
          <w:szCs w:val="20"/>
        </w:rPr>
      </w:pPr>
    </w:p>
    <w:p w14:paraId="0855845B" w14:textId="7F57AD36" w:rsidR="00CB1146" w:rsidRPr="00162031" w:rsidRDefault="00CB1146" w:rsidP="000F46EA">
      <w:pPr>
        <w:pStyle w:val="Normal0"/>
        <w:ind w:left="426"/>
        <w:jc w:val="both"/>
        <w:rPr>
          <w:i/>
          <w:iCs/>
          <w:sz w:val="20"/>
          <w:szCs w:val="20"/>
        </w:rPr>
      </w:pPr>
      <w:r w:rsidRPr="00162031">
        <w:rPr>
          <w:b/>
          <w:bCs/>
          <w:i/>
          <w:iCs/>
          <w:sz w:val="20"/>
          <w:szCs w:val="20"/>
        </w:rPr>
        <w:t>Reason</w:t>
      </w:r>
      <w:r w:rsidRPr="00162031">
        <w:rPr>
          <w:i/>
          <w:iCs/>
          <w:sz w:val="20"/>
          <w:szCs w:val="20"/>
        </w:rPr>
        <w:t xml:space="preserve">: </w:t>
      </w:r>
      <w:r w:rsidR="00162031" w:rsidRPr="00162031">
        <w:rPr>
          <w:i/>
          <w:iCs/>
          <w:color w:val="000000"/>
          <w:sz w:val="20"/>
          <w:szCs w:val="20"/>
        </w:rPr>
        <w:t xml:space="preserve">To ensure that the development does not contribute to, and is not put at unacceptable risk from- or adversely affected by-, unacceptable levels of contamination, in line with policy DM10 of the Havant Borough Local Plan (Core Strategy) 2011, DM17 of the Havant Borough Local Plan (Allocations) [2014], and paragraphs 178-180 of the National Planning Policy Framework.  </w:t>
      </w:r>
      <w:r w:rsidR="00162031" w:rsidRPr="00162031">
        <w:rPr>
          <w:i/>
          <w:iCs/>
          <w:sz w:val="20"/>
          <w:szCs w:val="20"/>
        </w:rPr>
        <w:t xml:space="preserve"> Contamination may </w:t>
      </w:r>
      <w:r w:rsidRPr="00162031">
        <w:rPr>
          <w:i/>
          <w:iCs/>
          <w:sz w:val="20"/>
          <w:szCs w:val="20"/>
        </w:rPr>
        <w:t>be present at the site as a result of both previous &amp; current land uses (&amp;/or activities) that could pose a risk to future employees &amp; guests at the site, and/or to adjacent sensitive environmental receptors.</w:t>
      </w:r>
    </w:p>
    <w:p w14:paraId="53C34C42" w14:textId="77777777" w:rsidR="00CB1146" w:rsidRPr="00162031" w:rsidRDefault="00CB1146" w:rsidP="00CB1146">
      <w:pPr>
        <w:pStyle w:val="Normal0"/>
        <w:jc w:val="both"/>
        <w:rPr>
          <w:i/>
          <w:iCs/>
          <w:sz w:val="20"/>
          <w:szCs w:val="20"/>
        </w:rPr>
      </w:pPr>
    </w:p>
    <w:p w14:paraId="06515879" w14:textId="4F8BA538" w:rsidR="00CB1146" w:rsidRPr="00162031" w:rsidRDefault="00CB1146" w:rsidP="00CB1146">
      <w:pPr>
        <w:rPr>
          <w:rFonts w:ascii="Arial" w:hAnsi="Arial" w:cs="Arial"/>
          <w:b/>
          <w:bCs/>
        </w:rPr>
      </w:pPr>
      <w:r w:rsidRPr="00162031">
        <w:rPr>
          <w:rFonts w:ascii="Arial" w:hAnsi="Arial" w:cs="Arial"/>
          <w:b/>
          <w:bCs/>
        </w:rPr>
        <w:t xml:space="preserve">C.13 </w:t>
      </w:r>
      <w:r w:rsidR="00DB338D" w:rsidRPr="00162031">
        <w:rPr>
          <w:rFonts w:ascii="Arial" w:hAnsi="Arial" w:cs="Arial"/>
          <w:b/>
          <w:bCs/>
        </w:rPr>
        <w:t>(</w:t>
      </w:r>
      <w:r w:rsidRPr="00162031">
        <w:rPr>
          <w:rFonts w:ascii="Arial" w:hAnsi="Arial" w:cs="Arial"/>
          <w:b/>
          <w:bCs/>
        </w:rPr>
        <w:t>Verification</w:t>
      </w:r>
      <w:r w:rsidR="00DB338D" w:rsidRPr="00162031">
        <w:rPr>
          <w:rFonts w:ascii="Arial" w:hAnsi="Arial" w:cs="Arial"/>
          <w:b/>
          <w:bCs/>
        </w:rPr>
        <w:t>)</w:t>
      </w:r>
    </w:p>
    <w:p w14:paraId="79BBBAEC" w14:textId="77777777" w:rsidR="00CB1146" w:rsidRPr="00162031" w:rsidRDefault="00CB1146" w:rsidP="000F46EA">
      <w:pPr>
        <w:spacing w:after="0" w:line="240" w:lineRule="auto"/>
        <w:ind w:left="426"/>
        <w:jc w:val="both"/>
        <w:rPr>
          <w:rFonts w:ascii="Arial" w:hAnsi="Arial" w:cs="Arial"/>
          <w:i/>
          <w:iCs/>
          <w:sz w:val="20"/>
          <w:szCs w:val="20"/>
        </w:rPr>
      </w:pPr>
      <w:r w:rsidRPr="00162031">
        <w:rPr>
          <w:rFonts w:ascii="Arial" w:hAnsi="Arial" w:cs="Arial"/>
          <w:i/>
          <w:iCs/>
          <w:sz w:val="20"/>
          <w:szCs w:val="20"/>
        </w:rPr>
        <w:t>Prior to the occupation of any relevant part of the permitted development, any verification report required in accordance with condition 12 shall be submitted to and approved in writing by the Local Planning Authority.</w:t>
      </w:r>
    </w:p>
    <w:p w14:paraId="31FEECF1" w14:textId="77777777" w:rsidR="00CB1146" w:rsidRPr="00162031" w:rsidRDefault="00CB1146" w:rsidP="000F46EA">
      <w:pPr>
        <w:spacing w:after="0" w:line="240" w:lineRule="auto"/>
        <w:ind w:left="426"/>
        <w:jc w:val="both"/>
        <w:rPr>
          <w:rFonts w:ascii="Arial" w:hAnsi="Arial" w:cs="Arial"/>
          <w:i/>
          <w:iCs/>
          <w:sz w:val="20"/>
          <w:szCs w:val="20"/>
        </w:rPr>
      </w:pPr>
    </w:p>
    <w:p w14:paraId="1BD4A11C" w14:textId="77777777" w:rsidR="00CB1146" w:rsidRPr="00162031" w:rsidRDefault="00CB1146" w:rsidP="000F46EA">
      <w:pPr>
        <w:spacing w:after="0" w:line="240" w:lineRule="auto"/>
        <w:ind w:left="426"/>
        <w:jc w:val="both"/>
        <w:rPr>
          <w:rFonts w:ascii="Arial" w:hAnsi="Arial" w:cs="Arial"/>
          <w:i/>
          <w:iCs/>
          <w:sz w:val="20"/>
          <w:szCs w:val="20"/>
        </w:rPr>
      </w:pPr>
      <w:r w:rsidRPr="00162031">
        <w:rPr>
          <w:rFonts w:ascii="Arial" w:hAnsi="Arial" w:cs="Arial"/>
          <w:i/>
          <w:iCs/>
          <w:sz w:val="20"/>
          <w:szCs w:val="20"/>
        </w:rPr>
        <w:t>The report shall include results of sampling and monitoring carried out in accordance with the approved verification plan, and must demonstrate that site remediation criteria have been met. Where longer-term monitoring of pollutant linkages is identified as being necessary, the report shall clearly set out plans for monitoring, provision for maintenance, relevant triggers and contingency actions (a "long-term monitoring and maintenance plan").</w:t>
      </w:r>
    </w:p>
    <w:p w14:paraId="4735748E" w14:textId="77777777" w:rsidR="00CB1146" w:rsidRPr="00162031" w:rsidRDefault="00CB1146" w:rsidP="000F46EA">
      <w:pPr>
        <w:spacing w:after="0" w:line="240" w:lineRule="auto"/>
        <w:ind w:left="426"/>
        <w:jc w:val="both"/>
        <w:rPr>
          <w:rFonts w:ascii="Arial" w:hAnsi="Arial" w:cs="Arial"/>
          <w:i/>
          <w:iCs/>
          <w:sz w:val="20"/>
          <w:szCs w:val="20"/>
        </w:rPr>
      </w:pPr>
    </w:p>
    <w:p w14:paraId="68C54D11" w14:textId="77777777" w:rsidR="00CB1146" w:rsidRPr="00162031" w:rsidRDefault="00CB1146" w:rsidP="000F46EA">
      <w:pPr>
        <w:spacing w:after="0" w:line="240" w:lineRule="auto"/>
        <w:ind w:left="426"/>
        <w:jc w:val="both"/>
        <w:rPr>
          <w:rFonts w:ascii="Arial" w:hAnsi="Arial" w:cs="Arial"/>
          <w:i/>
          <w:iCs/>
          <w:sz w:val="20"/>
          <w:szCs w:val="20"/>
        </w:rPr>
      </w:pPr>
      <w:r w:rsidRPr="00162031">
        <w:rPr>
          <w:rFonts w:ascii="Arial" w:hAnsi="Arial" w:cs="Arial"/>
          <w:i/>
          <w:iCs/>
          <w:sz w:val="20"/>
          <w:szCs w:val="20"/>
        </w:rPr>
        <w:t>The long-term monitoring and maintenance plan shall be implemented in accordance with the approved details.</w:t>
      </w:r>
    </w:p>
    <w:p w14:paraId="742A6B13" w14:textId="77777777" w:rsidR="00CB1146" w:rsidRPr="00162031" w:rsidRDefault="00CB1146" w:rsidP="00CB1146">
      <w:pPr>
        <w:spacing w:after="0" w:line="240" w:lineRule="auto"/>
        <w:jc w:val="both"/>
        <w:rPr>
          <w:rFonts w:ascii="Arial" w:hAnsi="Arial" w:cs="Arial"/>
          <w:i/>
          <w:iCs/>
          <w:sz w:val="20"/>
          <w:szCs w:val="20"/>
        </w:rPr>
      </w:pPr>
    </w:p>
    <w:p w14:paraId="6AFA6C61" w14:textId="47B15D35" w:rsidR="00162031" w:rsidRPr="00162031" w:rsidRDefault="00162031" w:rsidP="00162031">
      <w:pPr>
        <w:pStyle w:val="Normal0"/>
        <w:ind w:left="426"/>
        <w:jc w:val="both"/>
        <w:rPr>
          <w:i/>
          <w:iCs/>
          <w:sz w:val="20"/>
          <w:szCs w:val="20"/>
        </w:rPr>
      </w:pPr>
      <w:r w:rsidRPr="00162031">
        <w:rPr>
          <w:b/>
          <w:bCs/>
          <w:i/>
          <w:iCs/>
          <w:sz w:val="20"/>
          <w:szCs w:val="20"/>
        </w:rPr>
        <w:t>Reason</w:t>
      </w:r>
      <w:r w:rsidRPr="00162031">
        <w:rPr>
          <w:i/>
          <w:iCs/>
          <w:sz w:val="20"/>
          <w:szCs w:val="20"/>
        </w:rPr>
        <w:t xml:space="preserve">: </w:t>
      </w:r>
      <w:r w:rsidRPr="00162031">
        <w:rPr>
          <w:i/>
          <w:iCs/>
          <w:color w:val="000000"/>
          <w:sz w:val="20"/>
          <w:szCs w:val="20"/>
        </w:rPr>
        <w:t xml:space="preserve">To ensure that the development does not contribute to, and is not put at unacceptable risk from- or adversely affected by-, unacceptable levels of contamination, in line with policy DM10 of the Havant Borough Local Plan (Core Strategy) 2011, DM17 of the Havant Borough Local Plan (Allocations) [2014], and paragraphs 178-180 of the National Planning Policy Framework.  </w:t>
      </w:r>
      <w:r w:rsidRPr="00162031">
        <w:rPr>
          <w:i/>
          <w:iCs/>
          <w:sz w:val="20"/>
          <w:szCs w:val="20"/>
        </w:rPr>
        <w:t xml:space="preserve"> Contamination may be present at the site as a result of both previous &amp; current land uses (&amp;/or activities) that could pose a risk to future employees &amp; guests at the site, and/or to adjacent sensitive environmental receptors.</w:t>
      </w:r>
      <w:r w:rsidRPr="00162031">
        <w:rPr>
          <w:i/>
          <w:iCs/>
          <w:sz w:val="20"/>
          <w:szCs w:val="20"/>
        </w:rPr>
        <w:t>”</w:t>
      </w:r>
    </w:p>
    <w:p w14:paraId="2583B37D" w14:textId="77777777" w:rsidR="00CB1146" w:rsidRPr="00162031" w:rsidRDefault="00CB1146" w:rsidP="00CB1146">
      <w:pPr>
        <w:rPr>
          <w:rFonts w:ascii="Arial" w:hAnsi="Arial" w:cs="Arial"/>
        </w:rPr>
      </w:pPr>
    </w:p>
    <w:p w14:paraId="36BB9D1A"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bookmarkStart w:id="1" w:name="_GoBack"/>
      <w:bookmarkEnd w:id="1"/>
    </w:p>
    <w:p w14:paraId="5686CEF4"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p w14:paraId="0CBE3EAF"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Mr. Jonathan Driver</w:t>
      </w:r>
    </w:p>
    <w:p w14:paraId="79778375"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r>
        <w:rPr>
          <w:color w:val="000000"/>
        </w:rPr>
        <w:t>Environmental Control Officer</w:t>
      </w:r>
    </w:p>
    <w:p w14:paraId="78FB0F12" w14:textId="77777777" w:rsidR="0066671B" w:rsidRDefault="0066671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hAnsi="Arial" w:cs="Arial"/>
          <w:color w:val="000000"/>
        </w:rPr>
      </w:pPr>
    </w:p>
    <w:p w14:paraId="527E1136"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p>
    <w:p w14:paraId="49671F35"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p>
    <w:p w14:paraId="1424FEE3" w14:textId="77777777" w:rsidR="0066671B" w:rsidRDefault="0066671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p>
    <w:sectPr w:rsidR="0066671B">
      <w:pgSz w:w="11906" w:h="16838"/>
      <w:pgMar w:top="1440" w:right="1440" w:bottom="1440" w:left="10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multilevel"/>
    <w:tmpl w:val="00000002"/>
    <w:lvl w:ilvl="0">
      <w:start w:val="1"/>
      <w:numFmt w:val="bullet"/>
      <w:lvlText w:val=""/>
      <w:lvlJc w:val="left"/>
      <w:pPr>
        <w:ind w:left="360" w:hanging="360"/>
      </w:pPr>
      <w:rPr>
        <w:rFonts w:ascii="Symbol" w:hAnsi="Symbol" w:hint="default"/>
        <w:b w:val="0"/>
        <w:i w:val="0"/>
        <w:strike w:val="0"/>
        <w:dstrike w:val="0"/>
        <w:color w:val="auto"/>
        <w:sz w:val="24"/>
        <w:u w:val="none"/>
        <w:effect w:val="none"/>
      </w:rPr>
    </w:lvl>
    <w:lvl w:ilvl="1">
      <w:start w:val="1"/>
      <w:numFmt w:val="bullet"/>
      <w:lvlText w:val=""/>
      <w:lvlJc w:val="left"/>
      <w:pPr>
        <w:ind w:left="1800" w:hanging="360"/>
      </w:pPr>
      <w:rPr>
        <w:rFonts w:ascii="Symbol" w:hAnsi="Symbol" w:hint="default"/>
        <w:b w:val="0"/>
        <w:i w:val="0"/>
        <w:strike w:val="0"/>
        <w:dstrike w:val="0"/>
        <w:color w:val="auto"/>
        <w:sz w:val="24"/>
        <w:u w:val="none"/>
        <w:effect w:val="none"/>
      </w:rPr>
    </w:lvl>
    <w:lvl w:ilvl="2">
      <w:start w:val="1"/>
      <w:numFmt w:val="bullet"/>
      <w:lvlText w:val=""/>
      <w:lvlJc w:val="left"/>
      <w:pPr>
        <w:ind w:left="1080" w:hanging="360"/>
      </w:pPr>
      <w:rPr>
        <w:rFonts w:ascii="Symbol" w:hAnsi="Symbol" w:hint="default"/>
        <w:b w:val="0"/>
        <w:i w:val="0"/>
        <w:strike w:val="0"/>
        <w:dstrike w:val="0"/>
        <w:color w:val="auto"/>
        <w:sz w:val="24"/>
        <w:u w:val="none"/>
        <w:effect w:val="none"/>
      </w:rPr>
    </w:lvl>
    <w:lvl w:ilvl="3">
      <w:start w:val="1"/>
      <w:numFmt w:val="bullet"/>
      <w:lvlText w:val=""/>
      <w:lvlJc w:val="left"/>
      <w:pPr>
        <w:ind w:left="1440" w:hanging="360"/>
      </w:pPr>
      <w:rPr>
        <w:rFonts w:ascii="Symbol" w:hAnsi="Symbol" w:hint="default"/>
        <w:b w:val="0"/>
        <w:i w:val="0"/>
        <w:strike w:val="0"/>
        <w:dstrike w:val="0"/>
        <w:color w:val="auto"/>
        <w:sz w:val="24"/>
        <w:u w:val="none"/>
        <w:effect w:val="none"/>
      </w:rPr>
    </w:lvl>
    <w:lvl w:ilvl="4">
      <w:start w:val="1"/>
      <w:numFmt w:val="bullet"/>
      <w:lvlText w:val=""/>
      <w:lvlJc w:val="left"/>
      <w:pPr>
        <w:ind w:left="1800" w:hanging="360"/>
      </w:pPr>
      <w:rPr>
        <w:rFonts w:ascii="Symbol" w:hAnsi="Symbol" w:hint="default"/>
        <w:b w:val="0"/>
        <w:i w:val="0"/>
        <w:strike w:val="0"/>
        <w:dstrike w:val="0"/>
        <w:color w:val="auto"/>
        <w:sz w:val="24"/>
        <w:u w:val="none"/>
        <w:effect w:val="none"/>
      </w:rPr>
    </w:lvl>
    <w:lvl w:ilvl="5">
      <w:start w:val="1"/>
      <w:numFmt w:val="bullet"/>
      <w:lvlText w:val=""/>
      <w:lvlJc w:val="left"/>
      <w:pPr>
        <w:ind w:left="2160" w:hanging="360"/>
      </w:pPr>
      <w:rPr>
        <w:rFonts w:ascii="Symbol" w:hAnsi="Symbol" w:hint="default"/>
        <w:b w:val="0"/>
        <w:i w:val="0"/>
        <w:strike w:val="0"/>
        <w:dstrike w:val="0"/>
        <w:color w:val="auto"/>
        <w:sz w:val="24"/>
        <w:u w:val="none"/>
        <w:effect w:val="none"/>
      </w:rPr>
    </w:lvl>
    <w:lvl w:ilvl="6">
      <w:start w:val="1"/>
      <w:numFmt w:val="bullet"/>
      <w:lvlText w:val=""/>
      <w:lvlJc w:val="left"/>
      <w:pPr>
        <w:ind w:left="2520" w:hanging="360"/>
      </w:pPr>
      <w:rPr>
        <w:rFonts w:ascii="Symbol" w:hAnsi="Symbol" w:hint="default"/>
        <w:b w:val="0"/>
        <w:i w:val="0"/>
        <w:strike w:val="0"/>
        <w:dstrike w:val="0"/>
        <w:color w:val="auto"/>
        <w:sz w:val="24"/>
        <w:u w:val="none"/>
        <w:effect w:val="none"/>
      </w:rPr>
    </w:lvl>
    <w:lvl w:ilvl="7">
      <w:start w:val="1"/>
      <w:numFmt w:val="bullet"/>
      <w:lvlText w:val=""/>
      <w:lvlJc w:val="left"/>
      <w:pPr>
        <w:ind w:left="2880" w:hanging="360"/>
      </w:pPr>
      <w:rPr>
        <w:rFonts w:ascii="Symbol" w:hAnsi="Symbol" w:hint="default"/>
        <w:b w:val="0"/>
        <w:i w:val="0"/>
        <w:strike w:val="0"/>
        <w:dstrike w:val="0"/>
        <w:color w:val="auto"/>
        <w:sz w:val="24"/>
        <w:u w:val="none"/>
        <w:effect w:val="none"/>
      </w:rPr>
    </w:lvl>
    <w:lvl w:ilvl="8">
      <w:start w:val="1"/>
      <w:numFmt w:val="bullet"/>
      <w:lvlText w:val=""/>
      <w:lvlJc w:val="left"/>
      <w:pPr>
        <w:ind w:left="3240" w:hanging="360"/>
      </w:pPr>
      <w:rPr>
        <w:rFonts w:ascii="Symbol" w:hAnsi="Symbol" w:hint="default"/>
        <w:b w:val="0"/>
        <w:i w:val="0"/>
        <w:strike w:val="0"/>
        <w:dstrike w:val="0"/>
        <w:color w:val="auto"/>
        <w:sz w:val="24"/>
        <w:u w:val="none"/>
        <w:effect w:val="none"/>
      </w:rPr>
    </w:lvl>
  </w:abstractNum>
  <w:abstractNum w:abstractNumId="2" w15:restartNumberingAfterBreak="0">
    <w:nsid w:val="03D25036"/>
    <w:multiLevelType w:val="hybridMultilevel"/>
    <w:tmpl w:val="5DEC9B94"/>
    <w:lvl w:ilvl="0" w:tplc="08090011">
      <w:start w:val="1"/>
      <w:numFmt w:val="decimal"/>
      <w:lvlText w:val="%1)"/>
      <w:lvlJc w:val="left"/>
      <w:pPr>
        <w:ind w:left="1543" w:hanging="360"/>
      </w:pPr>
      <w:rPr>
        <w:rFonts w:cs="Times New Roman"/>
      </w:rPr>
    </w:lvl>
    <w:lvl w:ilvl="1" w:tplc="08090001">
      <w:start w:val="1"/>
      <w:numFmt w:val="bullet"/>
      <w:lvlText w:val=""/>
      <w:lvlJc w:val="left"/>
      <w:pPr>
        <w:ind w:left="2263" w:hanging="360"/>
      </w:pPr>
      <w:rPr>
        <w:rFonts w:ascii="Symbol" w:hAnsi="Symbol" w:hint="default"/>
      </w:rPr>
    </w:lvl>
    <w:lvl w:ilvl="2" w:tplc="0809001B" w:tentative="1">
      <w:start w:val="1"/>
      <w:numFmt w:val="lowerRoman"/>
      <w:lvlText w:val="%3."/>
      <w:lvlJc w:val="right"/>
      <w:pPr>
        <w:ind w:left="2983" w:hanging="180"/>
      </w:pPr>
      <w:rPr>
        <w:rFonts w:cs="Times New Roman"/>
      </w:rPr>
    </w:lvl>
    <w:lvl w:ilvl="3" w:tplc="0809000F" w:tentative="1">
      <w:start w:val="1"/>
      <w:numFmt w:val="decimal"/>
      <w:lvlText w:val="%4."/>
      <w:lvlJc w:val="left"/>
      <w:pPr>
        <w:ind w:left="3703" w:hanging="360"/>
      </w:pPr>
      <w:rPr>
        <w:rFonts w:cs="Times New Roman"/>
      </w:rPr>
    </w:lvl>
    <w:lvl w:ilvl="4" w:tplc="08090019" w:tentative="1">
      <w:start w:val="1"/>
      <w:numFmt w:val="lowerLetter"/>
      <w:lvlText w:val="%5."/>
      <w:lvlJc w:val="left"/>
      <w:pPr>
        <w:ind w:left="4423" w:hanging="360"/>
      </w:pPr>
      <w:rPr>
        <w:rFonts w:cs="Times New Roman"/>
      </w:rPr>
    </w:lvl>
    <w:lvl w:ilvl="5" w:tplc="0809001B" w:tentative="1">
      <w:start w:val="1"/>
      <w:numFmt w:val="lowerRoman"/>
      <w:lvlText w:val="%6."/>
      <w:lvlJc w:val="right"/>
      <w:pPr>
        <w:ind w:left="5143" w:hanging="180"/>
      </w:pPr>
      <w:rPr>
        <w:rFonts w:cs="Times New Roman"/>
      </w:rPr>
    </w:lvl>
    <w:lvl w:ilvl="6" w:tplc="0809000F" w:tentative="1">
      <w:start w:val="1"/>
      <w:numFmt w:val="decimal"/>
      <w:lvlText w:val="%7."/>
      <w:lvlJc w:val="left"/>
      <w:pPr>
        <w:ind w:left="5863" w:hanging="360"/>
      </w:pPr>
      <w:rPr>
        <w:rFonts w:cs="Times New Roman"/>
      </w:rPr>
    </w:lvl>
    <w:lvl w:ilvl="7" w:tplc="08090019" w:tentative="1">
      <w:start w:val="1"/>
      <w:numFmt w:val="lowerLetter"/>
      <w:lvlText w:val="%8."/>
      <w:lvlJc w:val="left"/>
      <w:pPr>
        <w:ind w:left="6583" w:hanging="360"/>
      </w:pPr>
      <w:rPr>
        <w:rFonts w:cs="Times New Roman"/>
      </w:rPr>
    </w:lvl>
    <w:lvl w:ilvl="8" w:tplc="0809001B" w:tentative="1">
      <w:start w:val="1"/>
      <w:numFmt w:val="lowerRoman"/>
      <w:lvlText w:val="%9."/>
      <w:lvlJc w:val="right"/>
      <w:pPr>
        <w:ind w:left="7303" w:hanging="180"/>
      </w:pPr>
      <w:rPr>
        <w:rFonts w:cs="Times New Roman"/>
      </w:rPr>
    </w:lvl>
  </w:abstractNum>
  <w:abstractNum w:abstractNumId="3" w15:restartNumberingAfterBreak="0">
    <w:nsid w:val="75627147"/>
    <w:multiLevelType w:val="hybridMultilevel"/>
    <w:tmpl w:val="C6D4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embedSystemFonts/>
  <w:bordersDoNotSurroundHeader/>
  <w:bordersDoNotSurroundFooter/>
  <w:proofState w:spelling="clean"/>
  <w:defaultTabStop w:val="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9766A"/>
    <w:rsid w:val="00012D7C"/>
    <w:rsid w:val="000F46EA"/>
    <w:rsid w:val="00162031"/>
    <w:rsid w:val="0043350F"/>
    <w:rsid w:val="005C4992"/>
    <w:rsid w:val="0066671B"/>
    <w:rsid w:val="00683848"/>
    <w:rsid w:val="0069766A"/>
    <w:rsid w:val="00CB1146"/>
    <w:rsid w:val="00DB338D"/>
    <w:rsid w:val="00E70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2DA8E8"/>
  <w14:defaultImageDpi w14:val="0"/>
  <w15:docId w15:val="{40327B48-6F28-407B-87EB-91A45944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rPr>
  </w:style>
  <w:style w:type="paragraph" w:styleId="Heading3">
    <w:name w:val="heading 3"/>
    <w:basedOn w:val="Normal"/>
    <w:next w:val="Normal"/>
    <w:link w:val="Heading3Char"/>
    <w:uiPriority w:val="99"/>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pPr>
    <w:rPr>
      <w:rFonts w:ascii="Times New Roman" w:hAnsi="Times New Roman" w:cs="Times New Roman"/>
      <w:b/>
      <w:bCs/>
      <w:i/>
      <w:iCs/>
      <w:color w:val="000000"/>
      <w:sz w:val="28"/>
      <w:szCs w:val="28"/>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pPr>
      <w:widowControl w:val="0"/>
      <w:autoSpaceDE w:val="0"/>
      <w:autoSpaceDN w:val="0"/>
      <w:adjustRightInd w:val="0"/>
      <w:spacing w:after="0" w:line="240" w:lineRule="auto"/>
    </w:pPr>
    <w:rPr>
      <w:rFonts w:ascii="Arial" w:hAnsi="Arial" w:cs="Arial"/>
      <w:sz w:val="24"/>
      <w:szCs w:val="24"/>
    </w:rPr>
  </w:style>
  <w:style w:type="paragraph" w:styleId="Title">
    <w:name w:val="Title"/>
    <w:basedOn w:val="Normal"/>
    <w:next w:val="Normal"/>
    <w:link w:val="TitleChar"/>
    <w:uiPriority w:val="99"/>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Times New Roman" w:hAnsi="Times New Roman" w:cs="Times New Roman"/>
      <w:b/>
      <w:bCs/>
      <w:color w:val="000000"/>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34"/>
    <w:qFormat/>
    <w:rsid w:val="00CB1146"/>
    <w:pPr>
      <w:widowControl/>
      <w:autoSpaceDE/>
      <w:autoSpaceDN/>
      <w:adjustRightInd/>
      <w:spacing w:after="160" w:line="259" w:lineRule="auto"/>
      <w:ind w:left="720"/>
      <w:contextualSpacing/>
    </w:pPr>
    <w:rPr>
      <w:rFonts w:eastAsia="Calibri" w:cs="Times New Roman"/>
      <w:lang w:eastAsia="en-US"/>
    </w:rPr>
  </w:style>
  <w:style w:type="paragraph" w:styleId="BalloonText">
    <w:name w:val="Balloon Text"/>
    <w:basedOn w:val="Normal"/>
    <w:link w:val="BalloonTextChar"/>
    <w:uiPriority w:val="99"/>
    <w:semiHidden/>
    <w:unhideWhenUsed/>
    <w:rsid w:val="00E70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C08"/>
    <w:rPr>
      <w:rFonts w:ascii="Segoe UI" w:hAnsi="Segoe UI" w:cs="Segoe UI"/>
      <w:sz w:val="18"/>
      <w:szCs w:val="18"/>
    </w:rPr>
  </w:style>
  <w:style w:type="character" w:customStyle="1" w:styleId="fontstyle01">
    <w:name w:val="fontstyle01"/>
    <w:rsid w:val="000F46EA"/>
    <w:rPr>
      <w:rFonts w:ascii="Verdana-Bold" w:hAnsi="Verdana-Bold"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88607-3291-46A7-A2CF-4E1C483BC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Driver, Jonathan</dc:creator>
  <cp:keywords/>
  <dc:description/>
  <cp:lastModifiedBy>Driver, Jonathan</cp:lastModifiedBy>
  <cp:revision>4</cp:revision>
  <dcterms:created xsi:type="dcterms:W3CDTF">2021-05-11T10:41:00Z</dcterms:created>
  <dcterms:modified xsi:type="dcterms:W3CDTF">2021-05-11T14:39:00Z</dcterms:modified>
</cp:coreProperties>
</file>