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86959" w14:textId="5F36FDAF" w:rsidR="009131C5" w:rsidRDefault="009131C5" w:rsidP="009131C5">
      <w:pPr>
        <w:jc w:val="center"/>
        <w:rPr>
          <w:rFonts w:ascii="Arial" w:hAnsi="Arial" w:cs="Arial"/>
          <w:b/>
          <w:sz w:val="22"/>
          <w:szCs w:val="22"/>
        </w:rPr>
      </w:pPr>
      <w:r>
        <w:rPr>
          <w:rFonts w:ascii="Arial" w:hAnsi="Arial" w:cs="Arial"/>
          <w:b/>
          <w:sz w:val="22"/>
          <w:szCs w:val="22"/>
        </w:rPr>
        <w:t xml:space="preserve">Planning Application Response of Planning Policy </w:t>
      </w:r>
    </w:p>
    <w:p w14:paraId="108E5134" w14:textId="77777777"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14:paraId="6FF6AAB6"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3ECDF183" w14:textId="77777777"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14:paraId="7DB6FC36" w14:textId="1F9C5987" w:rsidR="00D774F3" w:rsidRPr="00D774F3" w:rsidRDefault="009131C5" w:rsidP="004D6DF4">
            <w:pPr>
              <w:rPr>
                <w:rFonts w:ascii="Arial" w:hAnsi="Arial" w:cs="Arial"/>
                <w:sz w:val="22"/>
                <w:szCs w:val="22"/>
              </w:rPr>
            </w:pPr>
            <w:r>
              <w:rPr>
                <w:rFonts w:ascii="Arial" w:hAnsi="Arial" w:cs="Arial"/>
                <w:sz w:val="22"/>
                <w:szCs w:val="22"/>
              </w:rPr>
              <w:t>APP/</w:t>
            </w:r>
            <w:r w:rsidR="008F4FE3">
              <w:rPr>
                <w:rFonts w:ascii="Arial" w:hAnsi="Arial" w:cs="Arial"/>
                <w:sz w:val="22"/>
                <w:szCs w:val="22"/>
              </w:rPr>
              <w:t>20</w:t>
            </w:r>
            <w:r>
              <w:rPr>
                <w:rFonts w:ascii="Arial" w:hAnsi="Arial" w:cs="Arial"/>
                <w:sz w:val="22"/>
                <w:szCs w:val="22"/>
              </w:rPr>
              <w:t>/00</w:t>
            </w:r>
            <w:r w:rsidR="008F4FE3">
              <w:rPr>
                <w:rFonts w:ascii="Arial" w:hAnsi="Arial" w:cs="Arial"/>
                <w:sz w:val="22"/>
                <w:szCs w:val="22"/>
              </w:rPr>
              <w:t>251</w:t>
            </w:r>
          </w:p>
        </w:tc>
      </w:tr>
      <w:tr w:rsidR="00D774F3" w:rsidRPr="00D774F3" w14:paraId="31C69B1E"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64FFF523" w14:textId="77777777" w:rsidR="00D774F3" w:rsidRPr="00D774F3" w:rsidRDefault="00D774F3">
            <w:pPr>
              <w:rPr>
                <w:rFonts w:ascii="Arial" w:hAnsi="Arial" w:cs="Arial"/>
                <w:b/>
                <w:sz w:val="22"/>
                <w:szCs w:val="22"/>
              </w:rPr>
            </w:pPr>
            <w:r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14:paraId="4A6C24A5" w14:textId="12195FE6" w:rsidR="00D774F3" w:rsidRPr="00971951" w:rsidRDefault="00825845">
            <w:pPr>
              <w:rPr>
                <w:rFonts w:ascii="Arial" w:hAnsi="Arial" w:cs="Arial"/>
                <w:sz w:val="22"/>
                <w:szCs w:val="22"/>
              </w:rPr>
            </w:pPr>
            <w:r>
              <w:rPr>
                <w:rFonts w:ascii="Arial" w:hAnsi="Arial" w:cs="Arial"/>
                <w:sz w:val="22"/>
                <w:szCs w:val="22"/>
              </w:rPr>
              <w:t>North Street Arcade, Havant</w:t>
            </w:r>
          </w:p>
        </w:tc>
      </w:tr>
      <w:tr w:rsidR="00D774F3" w:rsidRPr="00D774F3" w14:paraId="7E99D03C"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2B39AB30" w14:textId="77777777"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14:paraId="5E690962" w14:textId="11EAE23B" w:rsidR="00D774F3" w:rsidRPr="00F67C5A" w:rsidRDefault="009131C5" w:rsidP="00F67C5A">
            <w:pPr>
              <w:autoSpaceDE w:val="0"/>
              <w:autoSpaceDN w:val="0"/>
              <w:adjustRightInd w:val="0"/>
              <w:rPr>
                <w:rFonts w:ascii="Arial" w:eastAsiaTheme="minorHAnsi" w:hAnsi="Arial" w:cs="Arial"/>
                <w:sz w:val="22"/>
                <w:szCs w:val="22"/>
                <w:lang w:eastAsia="en-US"/>
              </w:rPr>
            </w:pPr>
            <w:r>
              <w:rPr>
                <w:rFonts w:ascii="Arial" w:eastAsiaTheme="minorHAnsi" w:hAnsi="Arial" w:cs="Arial"/>
                <w:sz w:val="22"/>
                <w:szCs w:val="22"/>
                <w:lang w:eastAsia="en-US"/>
              </w:rPr>
              <w:t xml:space="preserve">Construction of </w:t>
            </w:r>
            <w:r w:rsidR="008F4FE3">
              <w:rPr>
                <w:rFonts w:ascii="Arial" w:eastAsiaTheme="minorHAnsi" w:hAnsi="Arial" w:cs="Arial"/>
                <w:sz w:val="22"/>
                <w:szCs w:val="22"/>
                <w:lang w:eastAsia="en-US"/>
              </w:rPr>
              <w:t xml:space="preserve">30 No. one and two bedroom apartments in a part 2 and a half / part 4 storey extension fronting onto Prince George Street together with the provision of infill flexible use (Classes A1/A2/A3) town centre commercial units to North Street frontage following the demolition of existing 1 and 2 storey retail development to rear </w:t>
            </w:r>
          </w:p>
        </w:tc>
      </w:tr>
      <w:tr w:rsidR="00D774F3" w:rsidRPr="00D774F3" w14:paraId="3AC6D07E"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6DD6939E" w14:textId="77777777"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14:paraId="5BE9FE1F" w14:textId="0444D13C" w:rsidR="00D774F3" w:rsidRPr="00D774F3" w:rsidRDefault="008F4FE3">
            <w:pPr>
              <w:rPr>
                <w:rFonts w:ascii="Arial" w:hAnsi="Arial" w:cs="Arial"/>
                <w:sz w:val="22"/>
                <w:szCs w:val="22"/>
              </w:rPr>
            </w:pPr>
            <w:r>
              <w:rPr>
                <w:rFonts w:ascii="Arial" w:hAnsi="Arial" w:cs="Arial"/>
                <w:sz w:val="22"/>
                <w:szCs w:val="22"/>
              </w:rPr>
              <w:t>Lewis Oliver</w:t>
            </w:r>
          </w:p>
        </w:tc>
      </w:tr>
      <w:tr w:rsidR="00D774F3" w:rsidRPr="00D774F3" w14:paraId="67C90400"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78393475" w14:textId="77777777"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14:paraId="459E5FAB" w14:textId="5E079E8B" w:rsidR="00D774F3" w:rsidRPr="00D774F3" w:rsidRDefault="008F4FE3">
            <w:pPr>
              <w:rPr>
                <w:rFonts w:ascii="Arial" w:hAnsi="Arial" w:cs="Arial"/>
                <w:sz w:val="22"/>
                <w:szCs w:val="22"/>
              </w:rPr>
            </w:pPr>
            <w:r>
              <w:rPr>
                <w:rFonts w:ascii="Arial" w:hAnsi="Arial" w:cs="Arial"/>
                <w:sz w:val="22"/>
                <w:szCs w:val="22"/>
              </w:rPr>
              <w:t>Jade Ellis</w:t>
            </w:r>
          </w:p>
        </w:tc>
      </w:tr>
      <w:tr w:rsidR="00D774F3" w:rsidRPr="00D774F3" w14:paraId="1F81CF78" w14:textId="77777777" w:rsidTr="00D774F3">
        <w:tc>
          <w:tcPr>
            <w:tcW w:w="2478" w:type="dxa"/>
            <w:tcBorders>
              <w:top w:val="single" w:sz="4" w:space="0" w:color="auto"/>
              <w:left w:val="single" w:sz="4" w:space="0" w:color="auto"/>
              <w:bottom w:val="single" w:sz="4" w:space="0" w:color="auto"/>
              <w:right w:val="single" w:sz="4" w:space="0" w:color="auto"/>
            </w:tcBorders>
            <w:hideMark/>
          </w:tcPr>
          <w:p w14:paraId="25AB6EE2" w14:textId="77777777"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14:paraId="3CC9A9BF" w14:textId="6E20CA84" w:rsidR="00D774F3" w:rsidRPr="00D774F3" w:rsidRDefault="008F4FE3" w:rsidP="00D24E55">
            <w:pPr>
              <w:rPr>
                <w:rFonts w:ascii="Arial" w:hAnsi="Arial" w:cs="Arial"/>
                <w:sz w:val="22"/>
                <w:szCs w:val="22"/>
              </w:rPr>
            </w:pPr>
            <w:r>
              <w:rPr>
                <w:rFonts w:ascii="Arial" w:hAnsi="Arial" w:cs="Arial"/>
                <w:sz w:val="22"/>
                <w:szCs w:val="22"/>
              </w:rPr>
              <w:t>21 April 2020</w:t>
            </w:r>
          </w:p>
        </w:tc>
      </w:tr>
    </w:tbl>
    <w:p w14:paraId="5200E238" w14:textId="77777777" w:rsidR="00D774F3" w:rsidRPr="00D774F3" w:rsidRDefault="00D774F3" w:rsidP="00D774F3">
      <w:pPr>
        <w:rPr>
          <w:rFonts w:ascii="Arial" w:hAnsi="Arial" w:cs="Arial"/>
          <w:b/>
          <w:sz w:val="22"/>
          <w:szCs w:val="22"/>
        </w:rPr>
      </w:pPr>
    </w:p>
    <w:p w14:paraId="71FAD7CC" w14:textId="77777777" w:rsidR="00E92107" w:rsidRPr="00E92107" w:rsidRDefault="00E92107" w:rsidP="00E92107">
      <w:pPr>
        <w:rPr>
          <w:rFonts w:ascii="Arial" w:hAnsi="Arial" w:cs="Arial"/>
          <w:sz w:val="22"/>
          <w:szCs w:val="22"/>
        </w:rPr>
      </w:pPr>
      <w:r w:rsidRPr="00E92107">
        <w:rPr>
          <w:rFonts w:ascii="Arial" w:hAnsi="Arial" w:cs="Arial"/>
          <w:b/>
          <w:sz w:val="22"/>
          <w:szCs w:val="22"/>
        </w:rPr>
        <w:t>Policy Status:</w:t>
      </w:r>
      <w:r>
        <w:rPr>
          <w:rFonts w:ascii="Arial" w:hAnsi="Arial" w:cs="Arial"/>
          <w:b/>
        </w:rPr>
        <w:t xml:space="preserve"> </w:t>
      </w:r>
      <w:r w:rsidRPr="00E92107">
        <w:rPr>
          <w:rFonts w:ascii="Arial" w:hAnsi="Arial" w:cs="Arial"/>
          <w:bCs/>
          <w:sz w:val="22"/>
          <w:szCs w:val="22"/>
        </w:rPr>
        <w:t xml:space="preserve">The </w:t>
      </w:r>
      <w:hyperlink r:id="rId8" w:history="1">
        <w:r w:rsidRPr="00E92107">
          <w:rPr>
            <w:rStyle w:val="Hyperlink"/>
            <w:rFonts w:ascii="Arial" w:hAnsi="Arial" w:cs="Arial"/>
            <w:bCs/>
            <w:sz w:val="22"/>
            <w:szCs w:val="22"/>
          </w:rPr>
          <w:t>Local Plan (Core Strategy)</w:t>
        </w:r>
      </w:hyperlink>
      <w:r w:rsidRPr="00E92107">
        <w:rPr>
          <w:rFonts w:ascii="Arial" w:hAnsi="Arial" w:cs="Arial"/>
          <w:bCs/>
          <w:sz w:val="22"/>
          <w:szCs w:val="22"/>
        </w:rPr>
        <w:t xml:space="preserve"> and the </w:t>
      </w:r>
      <w:hyperlink r:id="rId9" w:history="1">
        <w:r w:rsidRPr="00E92107">
          <w:rPr>
            <w:rStyle w:val="Hyperlink"/>
            <w:rFonts w:ascii="Arial" w:hAnsi="Arial" w:cs="Arial"/>
            <w:bCs/>
            <w:sz w:val="22"/>
            <w:szCs w:val="22"/>
          </w:rPr>
          <w:t>Local Plan (Allocations)</w:t>
        </w:r>
      </w:hyperlink>
      <w:r w:rsidRPr="00E92107">
        <w:rPr>
          <w:rFonts w:ascii="Arial" w:hAnsi="Arial" w:cs="Arial"/>
          <w:bCs/>
          <w:sz w:val="22"/>
          <w:szCs w:val="22"/>
        </w:rPr>
        <w:t>, together with the Hampshire Minerals and Waste Plan provide the development plan for the Borough.</w:t>
      </w:r>
      <w:r w:rsidRPr="00E92107">
        <w:rPr>
          <w:rFonts w:ascii="Arial" w:hAnsi="Arial" w:cs="Arial"/>
          <w:sz w:val="22"/>
          <w:szCs w:val="22"/>
        </w:rPr>
        <w:t xml:space="preserve"> The </w:t>
      </w:r>
      <w:hyperlink r:id="rId10" w:history="1">
        <w:r w:rsidRPr="00E92107">
          <w:rPr>
            <w:rStyle w:val="Hyperlink"/>
            <w:rFonts w:ascii="Arial" w:hAnsi="Arial" w:cs="Arial"/>
            <w:sz w:val="22"/>
            <w:szCs w:val="22"/>
          </w:rPr>
          <w:t>Pre-Submission Havant Borough Local Plan 2036</w:t>
        </w:r>
      </w:hyperlink>
      <w:r w:rsidRPr="00E92107">
        <w:rPr>
          <w:rFonts w:ascii="Arial" w:hAnsi="Arial" w:cs="Arial"/>
          <w:sz w:val="22"/>
          <w:szCs w:val="22"/>
        </w:rPr>
        <w:t xml:space="preserve"> (HBLP 2036) was approved by the Council in January 2019 and must be afforded some weight.</w:t>
      </w:r>
    </w:p>
    <w:p w14:paraId="3F35A7D8" w14:textId="77777777" w:rsidR="00E92107" w:rsidRPr="00E92107" w:rsidRDefault="00E92107" w:rsidP="00E92107">
      <w:pPr>
        <w:rPr>
          <w:rFonts w:ascii="Arial" w:hAnsi="Arial" w:cs="Arial"/>
          <w:b/>
          <w:sz w:val="22"/>
          <w:szCs w:val="22"/>
        </w:rPr>
      </w:pPr>
    </w:p>
    <w:p w14:paraId="0874D154" w14:textId="77777777" w:rsidR="00E92107" w:rsidRPr="00E92107" w:rsidRDefault="00E92107" w:rsidP="00E92107">
      <w:pPr>
        <w:rPr>
          <w:rFonts w:ascii="Arial" w:hAnsi="Arial" w:cs="Arial"/>
          <w:sz w:val="22"/>
          <w:szCs w:val="22"/>
        </w:rPr>
      </w:pPr>
      <w:r w:rsidRPr="00E92107">
        <w:rPr>
          <w:rFonts w:ascii="Arial" w:hAnsi="Arial" w:cs="Arial"/>
          <w:sz w:val="22"/>
          <w:szCs w:val="22"/>
        </w:rPr>
        <w:t xml:space="preserve">The following Adopted Local Plan policies are of </w:t>
      </w:r>
      <w:proofErr w:type="gramStart"/>
      <w:r w:rsidRPr="00E92107">
        <w:rPr>
          <w:rFonts w:ascii="Arial" w:hAnsi="Arial" w:cs="Arial"/>
          <w:sz w:val="22"/>
          <w:szCs w:val="22"/>
        </w:rPr>
        <w:t>particular relevance</w:t>
      </w:r>
      <w:proofErr w:type="gramEnd"/>
      <w:r w:rsidRPr="00E92107">
        <w:rPr>
          <w:rFonts w:ascii="Arial" w:hAnsi="Arial" w:cs="Arial"/>
          <w:sz w:val="22"/>
          <w:szCs w:val="22"/>
        </w:rPr>
        <w:t>:</w:t>
      </w:r>
    </w:p>
    <w:p w14:paraId="3CADCC3B" w14:textId="77777777" w:rsidR="00413025" w:rsidRPr="00E92107" w:rsidRDefault="00413025" w:rsidP="00413025">
      <w:pPr>
        <w:rPr>
          <w:rFonts w:ascii="Arial" w:hAnsi="Arial" w:cs="Arial"/>
          <w:bCs/>
          <w:sz w:val="24"/>
          <w:szCs w:val="24"/>
        </w:rPr>
      </w:pPr>
    </w:p>
    <w:p w14:paraId="7280D896" w14:textId="77777777" w:rsidR="0094404D" w:rsidRPr="00543D0F" w:rsidRDefault="00825845" w:rsidP="00825845">
      <w:pPr>
        <w:pStyle w:val="ListParagraph"/>
        <w:numPr>
          <w:ilvl w:val="0"/>
          <w:numId w:val="4"/>
        </w:numPr>
        <w:rPr>
          <w:rFonts w:ascii="Arial" w:hAnsi="Arial" w:cs="Arial"/>
          <w:bCs/>
          <w:sz w:val="22"/>
          <w:szCs w:val="22"/>
        </w:rPr>
      </w:pPr>
      <w:r w:rsidRPr="00543D0F">
        <w:rPr>
          <w:rFonts w:ascii="Arial" w:hAnsi="Arial" w:cs="Arial"/>
          <w:bCs/>
          <w:sz w:val="22"/>
          <w:szCs w:val="22"/>
        </w:rPr>
        <w:t>CS4 Town, District and Local Centres</w:t>
      </w:r>
    </w:p>
    <w:p w14:paraId="5401D493" w14:textId="77777777" w:rsidR="00825845" w:rsidRPr="00543D0F" w:rsidRDefault="00825845" w:rsidP="00825845">
      <w:pPr>
        <w:pStyle w:val="ListParagraph"/>
        <w:numPr>
          <w:ilvl w:val="0"/>
          <w:numId w:val="4"/>
        </w:numPr>
        <w:rPr>
          <w:rFonts w:ascii="Arial" w:hAnsi="Arial" w:cs="Arial"/>
          <w:bCs/>
          <w:sz w:val="22"/>
          <w:szCs w:val="22"/>
        </w:rPr>
      </w:pPr>
      <w:r w:rsidRPr="00543D0F">
        <w:rPr>
          <w:rFonts w:ascii="Arial" w:hAnsi="Arial" w:cs="Arial"/>
          <w:bCs/>
          <w:sz w:val="22"/>
          <w:szCs w:val="22"/>
        </w:rPr>
        <w:t>CS6 Regeneration of the Borough</w:t>
      </w:r>
    </w:p>
    <w:p w14:paraId="6544DC66" w14:textId="77777777" w:rsidR="00825845" w:rsidRPr="000914D0" w:rsidRDefault="00825845" w:rsidP="00825845">
      <w:pPr>
        <w:pStyle w:val="ListParagraph"/>
        <w:numPr>
          <w:ilvl w:val="0"/>
          <w:numId w:val="4"/>
        </w:numPr>
        <w:rPr>
          <w:rFonts w:ascii="Arial" w:hAnsi="Arial" w:cs="Arial"/>
          <w:bCs/>
          <w:sz w:val="22"/>
          <w:szCs w:val="22"/>
        </w:rPr>
      </w:pPr>
      <w:r w:rsidRPr="000914D0">
        <w:rPr>
          <w:rFonts w:ascii="Arial" w:hAnsi="Arial" w:cs="Arial"/>
          <w:bCs/>
          <w:sz w:val="22"/>
          <w:szCs w:val="22"/>
        </w:rPr>
        <w:t>CS9 Housing</w:t>
      </w:r>
    </w:p>
    <w:p w14:paraId="1DC81C75" w14:textId="77777777" w:rsidR="00CE0A27" w:rsidRDefault="00CE0A27" w:rsidP="00825845">
      <w:pPr>
        <w:pStyle w:val="ListParagraph"/>
        <w:numPr>
          <w:ilvl w:val="0"/>
          <w:numId w:val="4"/>
        </w:numPr>
        <w:rPr>
          <w:rFonts w:ascii="Arial" w:hAnsi="Arial" w:cs="Arial"/>
          <w:bCs/>
          <w:sz w:val="22"/>
          <w:szCs w:val="22"/>
        </w:rPr>
      </w:pPr>
      <w:r w:rsidRPr="003058E0">
        <w:rPr>
          <w:rFonts w:ascii="Arial" w:hAnsi="Arial" w:cs="Arial"/>
          <w:bCs/>
          <w:sz w:val="22"/>
          <w:szCs w:val="22"/>
        </w:rPr>
        <w:t>CS11 Protecting and Enhancing the Special Environment and Heritage of Havant Borough</w:t>
      </w:r>
    </w:p>
    <w:p w14:paraId="20F88175" w14:textId="77777777" w:rsidR="00EC3F6A" w:rsidRPr="003058E0" w:rsidRDefault="00EC3F6A" w:rsidP="00825845">
      <w:pPr>
        <w:pStyle w:val="ListParagraph"/>
        <w:numPr>
          <w:ilvl w:val="0"/>
          <w:numId w:val="4"/>
        </w:numPr>
        <w:rPr>
          <w:rFonts w:ascii="Arial" w:hAnsi="Arial" w:cs="Arial"/>
          <w:bCs/>
          <w:sz w:val="22"/>
          <w:szCs w:val="22"/>
        </w:rPr>
      </w:pPr>
      <w:r>
        <w:rPr>
          <w:rFonts w:ascii="Arial" w:hAnsi="Arial" w:cs="Arial"/>
          <w:bCs/>
          <w:sz w:val="22"/>
          <w:szCs w:val="22"/>
        </w:rPr>
        <w:t>CS14 Efficient Use of Resources</w:t>
      </w:r>
    </w:p>
    <w:p w14:paraId="788B2DE2" w14:textId="77777777" w:rsidR="00825845" w:rsidRPr="00EC3F6A" w:rsidRDefault="00825845" w:rsidP="00825845">
      <w:pPr>
        <w:pStyle w:val="ListParagraph"/>
        <w:numPr>
          <w:ilvl w:val="0"/>
          <w:numId w:val="4"/>
        </w:numPr>
        <w:rPr>
          <w:rFonts w:ascii="Arial" w:hAnsi="Arial" w:cs="Arial"/>
          <w:bCs/>
          <w:sz w:val="22"/>
          <w:szCs w:val="22"/>
        </w:rPr>
      </w:pPr>
      <w:r w:rsidRPr="00EC3F6A">
        <w:rPr>
          <w:rFonts w:ascii="Arial" w:hAnsi="Arial" w:cs="Arial"/>
          <w:bCs/>
          <w:sz w:val="22"/>
          <w:szCs w:val="22"/>
        </w:rPr>
        <w:t>CS16 High Quality Design</w:t>
      </w:r>
    </w:p>
    <w:p w14:paraId="0E6C22C7" w14:textId="77777777" w:rsidR="00825845" w:rsidRPr="003058E0" w:rsidRDefault="00825845" w:rsidP="00825845">
      <w:pPr>
        <w:pStyle w:val="ListParagraph"/>
        <w:numPr>
          <w:ilvl w:val="0"/>
          <w:numId w:val="4"/>
        </w:numPr>
        <w:rPr>
          <w:rFonts w:ascii="Arial" w:hAnsi="Arial" w:cs="Arial"/>
          <w:bCs/>
          <w:sz w:val="22"/>
          <w:szCs w:val="22"/>
        </w:rPr>
      </w:pPr>
      <w:r w:rsidRPr="003058E0">
        <w:rPr>
          <w:rFonts w:ascii="Arial" w:hAnsi="Arial" w:cs="Arial"/>
          <w:bCs/>
          <w:sz w:val="22"/>
          <w:szCs w:val="22"/>
        </w:rPr>
        <w:t>CS17 Concentration and Distribution of Development within the Urban Areas</w:t>
      </w:r>
    </w:p>
    <w:p w14:paraId="657EE084" w14:textId="77777777" w:rsidR="0039109F" w:rsidRPr="00993F56" w:rsidRDefault="0039109F" w:rsidP="00825845">
      <w:pPr>
        <w:pStyle w:val="ListParagraph"/>
        <w:numPr>
          <w:ilvl w:val="0"/>
          <w:numId w:val="4"/>
        </w:numPr>
        <w:rPr>
          <w:rFonts w:ascii="Arial" w:hAnsi="Arial" w:cs="Arial"/>
          <w:bCs/>
          <w:sz w:val="22"/>
          <w:szCs w:val="22"/>
        </w:rPr>
      </w:pPr>
      <w:r w:rsidRPr="00993F56">
        <w:rPr>
          <w:rFonts w:ascii="Arial" w:hAnsi="Arial" w:cs="Arial"/>
          <w:bCs/>
          <w:sz w:val="22"/>
          <w:szCs w:val="22"/>
        </w:rPr>
        <w:t>CS20 Transport and Access Strategy</w:t>
      </w:r>
    </w:p>
    <w:p w14:paraId="4F7818F2" w14:textId="77777777" w:rsidR="00825845" w:rsidRPr="004964BE" w:rsidRDefault="00825845" w:rsidP="00825845">
      <w:pPr>
        <w:pStyle w:val="ListParagraph"/>
        <w:numPr>
          <w:ilvl w:val="0"/>
          <w:numId w:val="4"/>
        </w:numPr>
        <w:rPr>
          <w:rFonts w:ascii="Arial" w:hAnsi="Arial" w:cs="Arial"/>
          <w:bCs/>
          <w:sz w:val="22"/>
          <w:szCs w:val="22"/>
        </w:rPr>
      </w:pPr>
      <w:r w:rsidRPr="004964BE">
        <w:rPr>
          <w:rFonts w:ascii="Arial" w:hAnsi="Arial" w:cs="Arial"/>
          <w:bCs/>
          <w:sz w:val="22"/>
          <w:szCs w:val="22"/>
        </w:rPr>
        <w:t>CS21 Developer Requirements</w:t>
      </w:r>
    </w:p>
    <w:p w14:paraId="4D61D275" w14:textId="77777777" w:rsidR="002D6489" w:rsidRPr="00F25330" w:rsidRDefault="002D6489" w:rsidP="00825845">
      <w:pPr>
        <w:pStyle w:val="ListParagraph"/>
        <w:numPr>
          <w:ilvl w:val="0"/>
          <w:numId w:val="4"/>
        </w:numPr>
        <w:rPr>
          <w:rFonts w:ascii="Arial" w:hAnsi="Arial" w:cs="Arial"/>
          <w:bCs/>
          <w:sz w:val="22"/>
          <w:szCs w:val="22"/>
        </w:rPr>
      </w:pPr>
      <w:r w:rsidRPr="00F25330">
        <w:rPr>
          <w:rFonts w:ascii="Arial" w:hAnsi="Arial" w:cs="Arial"/>
          <w:bCs/>
          <w:sz w:val="22"/>
          <w:szCs w:val="22"/>
        </w:rPr>
        <w:t>DM2 Protection of Existing Community Facilities and Shops</w:t>
      </w:r>
    </w:p>
    <w:p w14:paraId="3CD3A47A" w14:textId="77777777" w:rsidR="00993F56" w:rsidRPr="00993F56" w:rsidRDefault="00993F56" w:rsidP="00825845">
      <w:pPr>
        <w:pStyle w:val="ListParagraph"/>
        <w:numPr>
          <w:ilvl w:val="0"/>
          <w:numId w:val="4"/>
        </w:numPr>
        <w:rPr>
          <w:rFonts w:ascii="Arial" w:hAnsi="Arial" w:cs="Arial"/>
          <w:bCs/>
          <w:sz w:val="22"/>
          <w:szCs w:val="22"/>
        </w:rPr>
      </w:pPr>
      <w:r w:rsidRPr="00993F56">
        <w:rPr>
          <w:rFonts w:ascii="Arial" w:hAnsi="Arial" w:cs="Arial"/>
          <w:bCs/>
          <w:sz w:val="22"/>
          <w:szCs w:val="22"/>
        </w:rPr>
        <w:t>DM11 Planning for More Sustainable Travel</w:t>
      </w:r>
    </w:p>
    <w:p w14:paraId="1E59AB39" w14:textId="77777777" w:rsidR="00825845" w:rsidRPr="00993F56" w:rsidRDefault="00825845" w:rsidP="00825845">
      <w:pPr>
        <w:pStyle w:val="ListParagraph"/>
        <w:numPr>
          <w:ilvl w:val="0"/>
          <w:numId w:val="4"/>
        </w:numPr>
        <w:rPr>
          <w:rFonts w:ascii="Arial" w:hAnsi="Arial" w:cs="Arial"/>
          <w:bCs/>
          <w:sz w:val="22"/>
          <w:szCs w:val="22"/>
        </w:rPr>
      </w:pPr>
      <w:r w:rsidRPr="00993F56">
        <w:rPr>
          <w:rFonts w:ascii="Arial" w:hAnsi="Arial" w:cs="Arial"/>
          <w:bCs/>
          <w:sz w:val="22"/>
          <w:szCs w:val="22"/>
        </w:rPr>
        <w:t>DM12 Mitigating the Impacts of Travel</w:t>
      </w:r>
    </w:p>
    <w:p w14:paraId="710A6772" w14:textId="77777777" w:rsidR="00825845" w:rsidRPr="003058E0" w:rsidRDefault="00825845" w:rsidP="00825845">
      <w:pPr>
        <w:pStyle w:val="ListParagraph"/>
        <w:numPr>
          <w:ilvl w:val="0"/>
          <w:numId w:val="4"/>
        </w:numPr>
        <w:rPr>
          <w:rFonts w:ascii="Arial" w:hAnsi="Arial" w:cs="Arial"/>
          <w:bCs/>
          <w:sz w:val="22"/>
          <w:szCs w:val="22"/>
        </w:rPr>
      </w:pPr>
      <w:r w:rsidRPr="003058E0">
        <w:rPr>
          <w:rFonts w:ascii="Arial" w:hAnsi="Arial" w:cs="Arial"/>
          <w:bCs/>
          <w:sz w:val="22"/>
          <w:szCs w:val="22"/>
        </w:rPr>
        <w:t>DM13 Car and Cycle Parking on Residential Development</w:t>
      </w:r>
    </w:p>
    <w:p w14:paraId="372F7407" w14:textId="77777777" w:rsidR="003D6B67" w:rsidRPr="00351DB6" w:rsidRDefault="003D6B67" w:rsidP="00825845">
      <w:pPr>
        <w:pStyle w:val="ListParagraph"/>
        <w:numPr>
          <w:ilvl w:val="0"/>
          <w:numId w:val="4"/>
        </w:numPr>
        <w:rPr>
          <w:rFonts w:ascii="Arial" w:hAnsi="Arial" w:cs="Arial"/>
          <w:bCs/>
          <w:sz w:val="22"/>
          <w:szCs w:val="22"/>
        </w:rPr>
      </w:pPr>
      <w:r w:rsidRPr="00351DB6">
        <w:rPr>
          <w:rFonts w:ascii="Arial" w:hAnsi="Arial" w:cs="Arial"/>
          <w:bCs/>
          <w:sz w:val="22"/>
          <w:szCs w:val="22"/>
        </w:rPr>
        <w:t>DM21 Shopfronts, Signs, Security Shutters and Advertisements</w:t>
      </w:r>
    </w:p>
    <w:p w14:paraId="328314E0" w14:textId="77777777" w:rsidR="00825845" w:rsidRDefault="00825845" w:rsidP="00825845">
      <w:pPr>
        <w:pStyle w:val="ListParagraph"/>
        <w:numPr>
          <w:ilvl w:val="0"/>
          <w:numId w:val="4"/>
        </w:numPr>
        <w:rPr>
          <w:rFonts w:ascii="Arial" w:hAnsi="Arial" w:cs="Arial"/>
          <w:bCs/>
          <w:sz w:val="22"/>
          <w:szCs w:val="22"/>
        </w:rPr>
      </w:pPr>
      <w:r w:rsidRPr="004964BE">
        <w:rPr>
          <w:rFonts w:ascii="Arial" w:hAnsi="Arial" w:cs="Arial"/>
          <w:bCs/>
          <w:sz w:val="22"/>
          <w:szCs w:val="22"/>
        </w:rPr>
        <w:t>DM24 Recreational Disturbance to Special Protected Areas (SPAs) from Residential Development</w:t>
      </w:r>
    </w:p>
    <w:p w14:paraId="69C4912A" w14:textId="77777777" w:rsidR="00E12100" w:rsidRDefault="00E12100" w:rsidP="00825845">
      <w:pPr>
        <w:pStyle w:val="ListParagraph"/>
        <w:numPr>
          <w:ilvl w:val="0"/>
          <w:numId w:val="4"/>
        </w:numPr>
        <w:rPr>
          <w:rFonts w:ascii="Arial" w:hAnsi="Arial" w:cs="Arial"/>
          <w:bCs/>
          <w:sz w:val="22"/>
          <w:szCs w:val="22"/>
        </w:rPr>
      </w:pPr>
      <w:r>
        <w:rPr>
          <w:rFonts w:ascii="Arial" w:hAnsi="Arial" w:cs="Arial"/>
          <w:bCs/>
          <w:sz w:val="22"/>
          <w:szCs w:val="22"/>
        </w:rPr>
        <w:t>AL2 Urban Area Boundaries and Undeveloped Gaps between Settlements</w:t>
      </w:r>
    </w:p>
    <w:p w14:paraId="3501F683" w14:textId="77777777" w:rsidR="00543D0F" w:rsidRDefault="00543D0F" w:rsidP="00825845">
      <w:pPr>
        <w:pStyle w:val="ListParagraph"/>
        <w:numPr>
          <w:ilvl w:val="0"/>
          <w:numId w:val="4"/>
        </w:numPr>
        <w:rPr>
          <w:rFonts w:ascii="Arial" w:hAnsi="Arial" w:cs="Arial"/>
          <w:bCs/>
          <w:sz w:val="22"/>
          <w:szCs w:val="22"/>
        </w:rPr>
      </w:pPr>
      <w:r>
        <w:rPr>
          <w:rFonts w:ascii="Arial" w:hAnsi="Arial" w:cs="Arial"/>
          <w:bCs/>
          <w:sz w:val="22"/>
          <w:szCs w:val="22"/>
        </w:rPr>
        <w:t>AL3 Town, District and Local Centres</w:t>
      </w:r>
    </w:p>
    <w:p w14:paraId="5E76D6AE" w14:textId="77777777" w:rsidR="00460C46" w:rsidRDefault="00460C46" w:rsidP="00413025">
      <w:pPr>
        <w:rPr>
          <w:rFonts w:ascii="Arial" w:hAnsi="Arial" w:cs="Arial"/>
          <w:bCs/>
          <w:color w:val="0070C0"/>
          <w:sz w:val="22"/>
          <w:szCs w:val="22"/>
        </w:rPr>
      </w:pPr>
    </w:p>
    <w:p w14:paraId="781D11C3" w14:textId="581172AE" w:rsidR="00E92107" w:rsidRPr="00E92107" w:rsidRDefault="00E92107" w:rsidP="00E92107">
      <w:pPr>
        <w:autoSpaceDE w:val="0"/>
        <w:autoSpaceDN w:val="0"/>
        <w:adjustRightInd w:val="0"/>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In the Pre-submission Plan the following policies are of </w:t>
      </w:r>
      <w:proofErr w:type="gramStart"/>
      <w:r w:rsidRPr="00E92107">
        <w:rPr>
          <w:rFonts w:ascii="Arial" w:eastAsiaTheme="minorHAnsi" w:hAnsi="Arial" w:cs="Arial"/>
          <w:color w:val="000000"/>
          <w:sz w:val="22"/>
          <w:szCs w:val="22"/>
          <w:lang w:eastAsia="en-US"/>
        </w:rPr>
        <w:t>particular relevance</w:t>
      </w:r>
      <w:proofErr w:type="gramEnd"/>
      <w:r w:rsidRPr="00E92107">
        <w:rPr>
          <w:rFonts w:ascii="Arial" w:eastAsiaTheme="minorHAnsi" w:hAnsi="Arial" w:cs="Arial"/>
          <w:color w:val="000000"/>
          <w:sz w:val="22"/>
          <w:szCs w:val="22"/>
          <w:lang w:eastAsia="en-US"/>
        </w:rPr>
        <w:t xml:space="preserve">: </w:t>
      </w:r>
    </w:p>
    <w:p w14:paraId="3020D26B" w14:textId="76352118" w:rsidR="00E92107" w:rsidRDefault="00E92107" w:rsidP="00413025">
      <w:pPr>
        <w:rPr>
          <w:rFonts w:ascii="Arial" w:hAnsi="Arial" w:cs="Arial"/>
          <w:bCs/>
          <w:color w:val="0070C0"/>
          <w:sz w:val="22"/>
          <w:szCs w:val="22"/>
        </w:rPr>
      </w:pPr>
    </w:p>
    <w:p w14:paraId="24B54C21"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DR1 │ Delivery of Sustainable Development</w:t>
      </w:r>
    </w:p>
    <w:p w14:paraId="5A365937" w14:textId="30696211" w:rsid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DR2 │Regeneration </w:t>
      </w:r>
    </w:p>
    <w:p w14:paraId="55E3EC62" w14:textId="20666FBF"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KP1 | Havant Town Centre </w:t>
      </w:r>
    </w:p>
    <w:p w14:paraId="72097AE7"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IN1 │ Effective provision of infrastructure </w:t>
      </w:r>
    </w:p>
    <w:p w14:paraId="70BCEDA5"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IN3 │Transport and parking in new development</w:t>
      </w:r>
    </w:p>
    <w:p w14:paraId="1AF5CB5B"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IN4 │Future management and Management Plans </w:t>
      </w:r>
    </w:p>
    <w:p w14:paraId="72BC812A"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H2│Affordable housing </w:t>
      </w:r>
    </w:p>
    <w:p w14:paraId="44B41820"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H3 │ Housing density</w:t>
      </w:r>
    </w:p>
    <w:p w14:paraId="5F3E233A" w14:textId="77777777"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E1 │High quality design </w:t>
      </w:r>
    </w:p>
    <w:p w14:paraId="6BC5BACB" w14:textId="4D031766" w:rsidR="00E92107" w:rsidRP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E2 │Health and wellbeing </w:t>
      </w:r>
    </w:p>
    <w:p w14:paraId="76D6C204" w14:textId="25B52AD4" w:rsidR="00A97F08" w:rsidRPr="00E92107" w:rsidRDefault="00A97F08"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E13 | Historic environment and heritage assets </w:t>
      </w:r>
    </w:p>
    <w:p w14:paraId="227F1BA8" w14:textId="7F5C2864" w:rsidR="00E92107" w:rsidRDefault="00E92107" w:rsidP="00E92107">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E16 │</w:t>
      </w:r>
      <w:r w:rsidR="00A97F08">
        <w:rPr>
          <w:rFonts w:ascii="Arial" w:eastAsiaTheme="minorHAnsi" w:hAnsi="Arial" w:cs="Arial"/>
          <w:color w:val="000000"/>
          <w:sz w:val="22"/>
          <w:szCs w:val="22"/>
          <w:lang w:eastAsia="en-US"/>
        </w:rPr>
        <w:t xml:space="preserve">Recreation impact on the Solent European sites (previously </w:t>
      </w:r>
      <w:r w:rsidRPr="00E92107">
        <w:rPr>
          <w:rFonts w:ascii="Arial" w:eastAsiaTheme="minorHAnsi" w:hAnsi="Arial" w:cs="Arial"/>
          <w:color w:val="000000"/>
          <w:sz w:val="22"/>
          <w:szCs w:val="22"/>
          <w:lang w:eastAsia="en-US"/>
        </w:rPr>
        <w:t>Solent Special Protection Areas</w:t>
      </w:r>
      <w:r w:rsidR="00A97F08">
        <w:rPr>
          <w:rFonts w:ascii="Arial" w:eastAsiaTheme="minorHAnsi" w:hAnsi="Arial" w:cs="Arial"/>
          <w:color w:val="000000"/>
          <w:sz w:val="22"/>
          <w:szCs w:val="22"/>
          <w:lang w:eastAsia="en-US"/>
        </w:rPr>
        <w:t>)</w:t>
      </w:r>
    </w:p>
    <w:p w14:paraId="502E6916" w14:textId="499E7A10" w:rsidR="00460C46" w:rsidRPr="00186B91" w:rsidRDefault="00E92107" w:rsidP="00413025">
      <w:pPr>
        <w:numPr>
          <w:ilvl w:val="0"/>
          <w:numId w:val="8"/>
        </w:numPr>
        <w:autoSpaceDE w:val="0"/>
        <w:autoSpaceDN w:val="0"/>
        <w:adjustRightInd w:val="0"/>
        <w:spacing w:after="31"/>
        <w:rPr>
          <w:rFonts w:ascii="Arial" w:eastAsiaTheme="minorHAnsi" w:hAnsi="Arial" w:cs="Arial"/>
          <w:color w:val="000000"/>
          <w:sz w:val="22"/>
          <w:szCs w:val="22"/>
          <w:lang w:eastAsia="en-US"/>
        </w:rPr>
      </w:pPr>
      <w:r w:rsidRPr="00E92107">
        <w:rPr>
          <w:rFonts w:ascii="Arial" w:eastAsiaTheme="minorHAnsi" w:hAnsi="Arial" w:cs="Arial"/>
          <w:color w:val="000000"/>
          <w:sz w:val="22"/>
          <w:szCs w:val="22"/>
          <w:lang w:eastAsia="en-US"/>
        </w:rPr>
        <w:t xml:space="preserve">E22 │Amenity and pollution </w:t>
      </w:r>
    </w:p>
    <w:p w14:paraId="39641E37" w14:textId="50E7FF05" w:rsidR="00E92107" w:rsidRDefault="00E92107" w:rsidP="00E92107">
      <w:pPr>
        <w:rPr>
          <w:rFonts w:ascii="Arial" w:hAnsi="Arial" w:cs="Arial"/>
          <w:bCs/>
          <w:sz w:val="22"/>
          <w:szCs w:val="22"/>
        </w:rPr>
      </w:pPr>
    </w:p>
    <w:p w14:paraId="6F2F30E4" w14:textId="46D2756D" w:rsidR="00E92107" w:rsidRPr="00E92107" w:rsidRDefault="00E92107" w:rsidP="00E92107">
      <w:pPr>
        <w:rPr>
          <w:rFonts w:ascii="Arial" w:hAnsi="Arial" w:cs="Arial"/>
          <w:bCs/>
          <w:sz w:val="24"/>
          <w:szCs w:val="24"/>
        </w:rPr>
      </w:pPr>
      <w:r>
        <w:rPr>
          <w:rFonts w:ascii="Arial" w:hAnsi="Arial" w:cs="Arial"/>
          <w:bCs/>
          <w:sz w:val="22"/>
          <w:szCs w:val="22"/>
        </w:rPr>
        <w:t xml:space="preserve">It is also noted that this revised planning application follows the grant of planning permission reference APP/18/00530 for the construction of 21No. one and two bed apartments in a </w:t>
      </w:r>
      <w:r w:rsidR="003269B3">
        <w:rPr>
          <w:rFonts w:ascii="Arial" w:hAnsi="Arial" w:cs="Arial"/>
          <w:bCs/>
          <w:sz w:val="22"/>
          <w:szCs w:val="22"/>
        </w:rPr>
        <w:t>2-storey</w:t>
      </w:r>
      <w:r>
        <w:rPr>
          <w:rFonts w:ascii="Arial" w:hAnsi="Arial" w:cs="Arial"/>
          <w:bCs/>
          <w:sz w:val="22"/>
          <w:szCs w:val="22"/>
        </w:rPr>
        <w:t xml:space="preserve"> extension fronting</w:t>
      </w:r>
      <w:r w:rsidR="003269B3">
        <w:rPr>
          <w:rFonts w:ascii="Arial" w:hAnsi="Arial" w:cs="Arial"/>
          <w:bCs/>
          <w:sz w:val="22"/>
          <w:szCs w:val="22"/>
        </w:rPr>
        <w:t xml:space="preserve"> onto Prince George Street, together with the provision of infill flexible use (Classes A1/A2/A3) commercial floorspace to North Street frontage in December 2019. As such this decision will be material to the determination of the planning application. </w:t>
      </w:r>
    </w:p>
    <w:p w14:paraId="5D476D1B" w14:textId="77777777" w:rsidR="006B40E8" w:rsidRDefault="006B40E8" w:rsidP="00C211A5">
      <w:pPr>
        <w:rPr>
          <w:rFonts w:ascii="Arial" w:hAnsi="Arial" w:cs="Arial"/>
          <w:bCs/>
          <w:sz w:val="22"/>
          <w:szCs w:val="22"/>
        </w:rPr>
      </w:pPr>
    </w:p>
    <w:p w14:paraId="18317DE7" w14:textId="77777777" w:rsidR="00413025" w:rsidRPr="001213E9" w:rsidRDefault="00D507C8" w:rsidP="00D507C8">
      <w:pPr>
        <w:rPr>
          <w:rFonts w:ascii="Arial" w:hAnsi="Arial" w:cs="Arial"/>
          <w:b/>
          <w:bCs/>
          <w:sz w:val="22"/>
          <w:szCs w:val="22"/>
        </w:rPr>
      </w:pPr>
      <w:r w:rsidRPr="001213E9">
        <w:rPr>
          <w:rFonts w:ascii="Arial" w:hAnsi="Arial" w:cs="Arial"/>
          <w:b/>
          <w:bCs/>
          <w:sz w:val="22"/>
          <w:szCs w:val="22"/>
        </w:rPr>
        <w:t xml:space="preserve">Principle of Development: </w:t>
      </w:r>
    </w:p>
    <w:p w14:paraId="3DB7B945" w14:textId="26400FF2" w:rsidR="00413025" w:rsidRDefault="00413025" w:rsidP="00D507C8">
      <w:pPr>
        <w:rPr>
          <w:rFonts w:ascii="Arial" w:hAnsi="Arial" w:cs="Arial"/>
          <w:bCs/>
          <w:color w:val="0070C0"/>
          <w:sz w:val="22"/>
          <w:szCs w:val="22"/>
        </w:rPr>
      </w:pPr>
    </w:p>
    <w:p w14:paraId="478C11DE" w14:textId="0058FC23" w:rsidR="003269B3" w:rsidRDefault="003269B3" w:rsidP="003269B3">
      <w:pPr>
        <w:rPr>
          <w:rFonts w:ascii="Arial" w:hAnsi="Arial" w:cs="Arial"/>
          <w:bCs/>
          <w:sz w:val="22"/>
          <w:szCs w:val="22"/>
        </w:rPr>
      </w:pPr>
      <w:r>
        <w:rPr>
          <w:rFonts w:ascii="Arial" w:hAnsi="Arial" w:cs="Arial"/>
          <w:bCs/>
          <w:sz w:val="22"/>
          <w:szCs w:val="22"/>
        </w:rPr>
        <w:t xml:space="preserve">The site falls within the Market Parade area (see Figure 4) within Havant Town Centre as defined by Policy KP1 in the Pre-Submission Local Plan. The Market Parade area is identified as an area for leisure uses and high-quality, high-density residential redevelopment. As such the policy supports the provision of main town centre uses (except offices) with active frontages at ground floor level, and innovative high-density residential redevelopment at upper floors. The construction of 30 new homes would also contribute to the delivery of 750 new homes </w:t>
      </w:r>
      <w:r w:rsidR="003234E5">
        <w:rPr>
          <w:rFonts w:ascii="Arial" w:hAnsi="Arial" w:cs="Arial"/>
          <w:bCs/>
          <w:sz w:val="22"/>
          <w:szCs w:val="22"/>
        </w:rPr>
        <w:t>in the centre</w:t>
      </w:r>
      <w:r>
        <w:rPr>
          <w:rFonts w:ascii="Arial" w:hAnsi="Arial" w:cs="Arial"/>
          <w:bCs/>
          <w:sz w:val="22"/>
          <w:szCs w:val="22"/>
        </w:rPr>
        <w:t xml:space="preserve"> </w:t>
      </w:r>
      <w:r w:rsidR="003234E5">
        <w:rPr>
          <w:rFonts w:ascii="Arial" w:hAnsi="Arial" w:cs="Arial"/>
          <w:bCs/>
          <w:sz w:val="22"/>
          <w:szCs w:val="22"/>
        </w:rPr>
        <w:t>(c</w:t>
      </w:r>
      <w:r>
        <w:rPr>
          <w:rFonts w:ascii="Arial" w:hAnsi="Arial" w:cs="Arial"/>
          <w:bCs/>
          <w:sz w:val="22"/>
          <w:szCs w:val="22"/>
        </w:rPr>
        <w:t xml:space="preserve">riterion </w:t>
      </w:r>
      <w:r w:rsidR="003234E5">
        <w:rPr>
          <w:rFonts w:ascii="Arial" w:hAnsi="Arial" w:cs="Arial"/>
          <w:bCs/>
          <w:sz w:val="22"/>
          <w:szCs w:val="22"/>
        </w:rPr>
        <w:t>d)</w:t>
      </w:r>
      <w:r>
        <w:rPr>
          <w:rFonts w:ascii="Arial" w:hAnsi="Arial" w:cs="Arial"/>
          <w:bCs/>
          <w:sz w:val="22"/>
          <w:szCs w:val="22"/>
        </w:rPr>
        <w:t>.</w:t>
      </w:r>
      <w:r w:rsidR="003234E5">
        <w:rPr>
          <w:rFonts w:ascii="Arial" w:hAnsi="Arial" w:cs="Arial"/>
          <w:bCs/>
          <w:sz w:val="22"/>
          <w:szCs w:val="22"/>
        </w:rPr>
        <w:t xml:space="preserve"> Furthermore, it is noted that A3 uses would have the potential to enhance the evening economy. </w:t>
      </w:r>
    </w:p>
    <w:p w14:paraId="639649EA" w14:textId="77777777" w:rsidR="003269B3" w:rsidRDefault="003269B3" w:rsidP="003269B3">
      <w:pPr>
        <w:rPr>
          <w:rFonts w:ascii="Arial" w:hAnsi="Arial" w:cs="Arial"/>
          <w:bCs/>
          <w:sz w:val="22"/>
          <w:szCs w:val="22"/>
        </w:rPr>
      </w:pPr>
    </w:p>
    <w:p w14:paraId="179E85CE" w14:textId="0CF128AE" w:rsidR="003269B3" w:rsidRDefault="003269B3" w:rsidP="003269B3">
      <w:pPr>
        <w:rPr>
          <w:rFonts w:ascii="Arial" w:hAnsi="Arial" w:cs="Arial"/>
          <w:bCs/>
          <w:sz w:val="22"/>
          <w:szCs w:val="22"/>
        </w:rPr>
      </w:pPr>
      <w:r>
        <w:rPr>
          <w:rFonts w:ascii="Arial" w:hAnsi="Arial" w:cs="Arial"/>
          <w:bCs/>
          <w:sz w:val="22"/>
          <w:szCs w:val="22"/>
        </w:rPr>
        <w:t xml:space="preserve">Whilst </w:t>
      </w:r>
      <w:r w:rsidR="003234E5">
        <w:rPr>
          <w:rFonts w:ascii="Arial" w:hAnsi="Arial" w:cs="Arial"/>
          <w:bCs/>
          <w:sz w:val="22"/>
          <w:szCs w:val="22"/>
        </w:rPr>
        <w:t>a coordinated and comprehensive approach to the future of Havant Town Centre, is to be achieved through a production of a town centre regeneration framework,</w:t>
      </w:r>
      <w:r>
        <w:rPr>
          <w:rFonts w:ascii="Arial" w:hAnsi="Arial" w:cs="Arial"/>
          <w:bCs/>
          <w:sz w:val="22"/>
          <w:szCs w:val="22"/>
        </w:rPr>
        <w:t xml:space="preserve"> following the adoption of the new Local Plan; it is considered the development proposals would </w:t>
      </w:r>
      <w:r w:rsidR="003234E5">
        <w:rPr>
          <w:rFonts w:ascii="Arial" w:hAnsi="Arial" w:cs="Arial"/>
          <w:bCs/>
          <w:sz w:val="22"/>
          <w:szCs w:val="22"/>
        </w:rPr>
        <w:t xml:space="preserve">align with the aims and objectives for this part of the town centre. </w:t>
      </w:r>
    </w:p>
    <w:p w14:paraId="404BC538" w14:textId="77777777" w:rsidR="003269B3" w:rsidRDefault="003269B3" w:rsidP="00D507C8">
      <w:pPr>
        <w:rPr>
          <w:rFonts w:ascii="Arial" w:hAnsi="Arial" w:cs="Arial"/>
          <w:bCs/>
          <w:color w:val="0070C0"/>
          <w:sz w:val="22"/>
          <w:szCs w:val="22"/>
        </w:rPr>
      </w:pPr>
    </w:p>
    <w:p w14:paraId="23F4D162" w14:textId="1A9CAC1D" w:rsidR="003269B3" w:rsidRPr="003234E5" w:rsidRDefault="003269B3" w:rsidP="003269B3">
      <w:pPr>
        <w:rPr>
          <w:rFonts w:ascii="Arial" w:hAnsi="Arial" w:cs="Arial"/>
          <w:bCs/>
          <w:sz w:val="24"/>
          <w:szCs w:val="24"/>
        </w:rPr>
      </w:pPr>
      <w:r>
        <w:rPr>
          <w:rFonts w:ascii="Arial" w:hAnsi="Arial" w:cs="Arial"/>
          <w:bCs/>
          <w:sz w:val="22"/>
          <w:szCs w:val="22"/>
        </w:rPr>
        <w:t xml:space="preserve">For completeness, </w:t>
      </w:r>
      <w:r w:rsidRPr="003269B3">
        <w:rPr>
          <w:rFonts w:ascii="Arial" w:hAnsi="Arial" w:cs="Arial"/>
          <w:sz w:val="22"/>
          <w:szCs w:val="22"/>
        </w:rPr>
        <w:t xml:space="preserve">North Street Arcade is not </w:t>
      </w:r>
      <w:r>
        <w:rPr>
          <w:rFonts w:ascii="Arial" w:hAnsi="Arial" w:cs="Arial"/>
          <w:sz w:val="22"/>
          <w:szCs w:val="22"/>
        </w:rPr>
        <w:t xml:space="preserve">defined </w:t>
      </w:r>
      <w:r w:rsidRPr="003269B3">
        <w:rPr>
          <w:rFonts w:ascii="Arial" w:hAnsi="Arial" w:cs="Arial"/>
          <w:sz w:val="22"/>
          <w:szCs w:val="22"/>
        </w:rPr>
        <w:t xml:space="preserve">within the primary or secondary shopping frontages </w:t>
      </w:r>
      <w:r>
        <w:rPr>
          <w:rFonts w:ascii="Arial" w:hAnsi="Arial" w:cs="Arial"/>
          <w:sz w:val="22"/>
          <w:szCs w:val="22"/>
        </w:rPr>
        <w:t>of Havant Town Centre as set out</w:t>
      </w:r>
      <w:r w:rsidRPr="003269B3">
        <w:rPr>
          <w:rFonts w:ascii="Arial" w:hAnsi="Arial" w:cs="Arial"/>
          <w:sz w:val="22"/>
          <w:szCs w:val="22"/>
        </w:rPr>
        <w:t xml:space="preserve"> by Policies CS4 and AL3. </w:t>
      </w:r>
      <w:r w:rsidR="003234E5">
        <w:rPr>
          <w:rFonts w:ascii="Arial" w:hAnsi="Arial" w:cs="Arial"/>
          <w:sz w:val="22"/>
          <w:szCs w:val="22"/>
        </w:rPr>
        <w:t xml:space="preserve">As such, </w:t>
      </w:r>
      <w:r>
        <w:rPr>
          <w:rFonts w:ascii="Arial" w:hAnsi="Arial" w:cs="Arial"/>
          <w:sz w:val="22"/>
          <w:szCs w:val="22"/>
        </w:rPr>
        <w:t xml:space="preserve">Policy DM2 of the Core Strategy </w:t>
      </w:r>
      <w:r w:rsidR="003234E5">
        <w:rPr>
          <w:rFonts w:ascii="Arial" w:hAnsi="Arial" w:cs="Arial"/>
          <w:sz w:val="22"/>
          <w:szCs w:val="22"/>
        </w:rPr>
        <w:t>would n</w:t>
      </w:r>
      <w:r>
        <w:rPr>
          <w:rFonts w:ascii="Arial" w:hAnsi="Arial" w:cs="Arial"/>
          <w:sz w:val="22"/>
          <w:szCs w:val="22"/>
        </w:rPr>
        <w:t>ot apply (referring to shops within the primary and secondary frontages of centres identified in Policy CS4).</w:t>
      </w:r>
    </w:p>
    <w:p w14:paraId="19936F1A" w14:textId="77777777" w:rsidR="006B40E8" w:rsidRDefault="006B40E8" w:rsidP="00D507C8">
      <w:pPr>
        <w:rPr>
          <w:rFonts w:ascii="Arial" w:hAnsi="Arial" w:cs="Arial"/>
          <w:b/>
          <w:bCs/>
          <w:sz w:val="22"/>
          <w:szCs w:val="22"/>
        </w:rPr>
      </w:pPr>
    </w:p>
    <w:p w14:paraId="4F412EDA" w14:textId="16C66E62" w:rsidR="003234E5" w:rsidRDefault="003234E5" w:rsidP="003234E5">
      <w:pPr>
        <w:rPr>
          <w:rFonts w:ascii="Arial" w:hAnsi="Arial" w:cs="Arial"/>
          <w:b/>
          <w:sz w:val="22"/>
          <w:szCs w:val="22"/>
        </w:rPr>
      </w:pPr>
      <w:r>
        <w:rPr>
          <w:rFonts w:ascii="Arial" w:hAnsi="Arial" w:cs="Arial"/>
          <w:b/>
          <w:bCs/>
          <w:sz w:val="22"/>
          <w:szCs w:val="22"/>
        </w:rPr>
        <w:t xml:space="preserve">Affordable Housing: </w:t>
      </w:r>
    </w:p>
    <w:p w14:paraId="12AF4F31" w14:textId="77777777" w:rsidR="003234E5" w:rsidRDefault="003234E5" w:rsidP="003234E5">
      <w:pPr>
        <w:rPr>
          <w:rFonts w:ascii="Arial" w:hAnsi="Arial" w:cs="Arial"/>
          <w:b/>
          <w:sz w:val="22"/>
          <w:szCs w:val="22"/>
        </w:rPr>
      </w:pPr>
    </w:p>
    <w:p w14:paraId="341994D7" w14:textId="71C7F2BA" w:rsidR="003234E5" w:rsidRDefault="003234E5" w:rsidP="003234E5">
      <w:pPr>
        <w:rPr>
          <w:rFonts w:ascii="Arial" w:hAnsi="Arial" w:cs="Arial"/>
          <w:sz w:val="22"/>
          <w:szCs w:val="22"/>
        </w:rPr>
      </w:pPr>
      <w:r w:rsidRPr="00D3678F">
        <w:rPr>
          <w:rFonts w:ascii="Arial" w:hAnsi="Arial" w:cs="Arial"/>
          <w:sz w:val="22"/>
          <w:szCs w:val="22"/>
        </w:rPr>
        <w:t>Policy CS9 sets out an affordable housing requirement of 30-40% on sites or 15 dwellings (gross) or more.</w:t>
      </w:r>
      <w:r>
        <w:rPr>
          <w:rFonts w:ascii="Arial" w:hAnsi="Arial" w:cs="Arial"/>
          <w:sz w:val="22"/>
          <w:szCs w:val="22"/>
        </w:rPr>
        <w:t xml:space="preserve"> This is reinforced by emerging Policy H2 which sets out a requirement for 30% affordable housing on sites resulting in a net gain of 10 or more dwellings. As such, it is expected that at least 9 units of the development of 30 homes would be provided as affordable.</w:t>
      </w:r>
    </w:p>
    <w:p w14:paraId="1EB7B445" w14:textId="088B87B9" w:rsidR="003234E5" w:rsidRDefault="003234E5" w:rsidP="003234E5">
      <w:pPr>
        <w:rPr>
          <w:rFonts w:ascii="Arial" w:hAnsi="Arial" w:cs="Arial"/>
          <w:sz w:val="22"/>
          <w:szCs w:val="22"/>
        </w:rPr>
      </w:pPr>
    </w:p>
    <w:p w14:paraId="6BE270B6" w14:textId="1BDD7BE3" w:rsidR="003234E5" w:rsidRDefault="003234E5" w:rsidP="003234E5">
      <w:pPr>
        <w:rPr>
          <w:rFonts w:ascii="Arial" w:hAnsi="Arial" w:cs="Arial"/>
          <w:b/>
          <w:bCs/>
          <w:sz w:val="22"/>
          <w:szCs w:val="22"/>
        </w:rPr>
      </w:pPr>
      <w:r>
        <w:rPr>
          <w:rFonts w:ascii="Arial" w:hAnsi="Arial" w:cs="Arial"/>
          <w:sz w:val="22"/>
          <w:szCs w:val="22"/>
        </w:rPr>
        <w:t xml:space="preserve">However, it is noted the submitted an Affordable Housing Viability Report which concludes there is a deficit and the development is unable to viably support any affordable housing. In such cases, the Council expects this to be evidenced by an open book financial appraisal which </w:t>
      </w:r>
      <w:r w:rsidR="00436664">
        <w:rPr>
          <w:rFonts w:ascii="Arial" w:hAnsi="Arial" w:cs="Arial"/>
          <w:sz w:val="22"/>
          <w:szCs w:val="22"/>
        </w:rPr>
        <w:t xml:space="preserve">will be subject to third-party valuation at the applicant’s cost. This will critically examine the viability of the development scheme. </w:t>
      </w:r>
      <w:r w:rsidR="008413E3">
        <w:rPr>
          <w:rFonts w:ascii="Arial" w:hAnsi="Arial" w:cs="Arial"/>
          <w:sz w:val="22"/>
          <w:szCs w:val="22"/>
        </w:rPr>
        <w:t xml:space="preserve">It is noted that the Council’s Housing Enabling Officer has also offered advice on this matter. </w:t>
      </w:r>
    </w:p>
    <w:p w14:paraId="0912A366" w14:textId="77777777" w:rsidR="00800784" w:rsidRPr="004964BE" w:rsidRDefault="00800784" w:rsidP="00D507C8">
      <w:pPr>
        <w:rPr>
          <w:rFonts w:ascii="Arial" w:hAnsi="Arial" w:cs="Arial"/>
          <w:bCs/>
          <w:color w:val="0070C0"/>
          <w:sz w:val="22"/>
          <w:szCs w:val="22"/>
        </w:rPr>
      </w:pPr>
    </w:p>
    <w:p w14:paraId="2B133B40" w14:textId="5AE0798C" w:rsidR="004964BE" w:rsidRPr="005430F4" w:rsidRDefault="00176A2F" w:rsidP="00CA17AA">
      <w:pPr>
        <w:rPr>
          <w:rFonts w:ascii="Arial" w:hAnsi="Arial" w:cs="Arial"/>
          <w:bCs/>
          <w:sz w:val="22"/>
          <w:szCs w:val="22"/>
        </w:rPr>
      </w:pPr>
      <w:r>
        <w:rPr>
          <w:rFonts w:ascii="Arial" w:hAnsi="Arial" w:cs="Arial"/>
          <w:b/>
          <w:bCs/>
          <w:sz w:val="22"/>
          <w:szCs w:val="22"/>
        </w:rPr>
        <w:t>Archaeolog</w:t>
      </w:r>
      <w:r w:rsidR="00D60BBF">
        <w:rPr>
          <w:rFonts w:ascii="Arial" w:hAnsi="Arial" w:cs="Arial"/>
          <w:b/>
          <w:bCs/>
          <w:sz w:val="22"/>
          <w:szCs w:val="22"/>
        </w:rPr>
        <w:t xml:space="preserve">y, </w:t>
      </w:r>
      <w:r w:rsidR="00CA17AA" w:rsidRPr="005430F4">
        <w:rPr>
          <w:rFonts w:ascii="Arial" w:hAnsi="Arial" w:cs="Arial"/>
          <w:b/>
          <w:bCs/>
          <w:sz w:val="22"/>
          <w:szCs w:val="22"/>
        </w:rPr>
        <w:t>Conservation Area</w:t>
      </w:r>
      <w:r w:rsidR="00532C9A">
        <w:rPr>
          <w:rFonts w:ascii="Arial" w:hAnsi="Arial" w:cs="Arial"/>
          <w:b/>
          <w:bCs/>
          <w:sz w:val="22"/>
          <w:szCs w:val="22"/>
        </w:rPr>
        <w:t xml:space="preserve"> and </w:t>
      </w:r>
      <w:r w:rsidR="00B379D0">
        <w:rPr>
          <w:rFonts w:ascii="Arial" w:hAnsi="Arial" w:cs="Arial"/>
          <w:b/>
          <w:bCs/>
          <w:sz w:val="22"/>
          <w:szCs w:val="22"/>
        </w:rPr>
        <w:t>High-Quality</w:t>
      </w:r>
      <w:r w:rsidR="00532C9A">
        <w:rPr>
          <w:rFonts w:ascii="Arial" w:hAnsi="Arial" w:cs="Arial"/>
          <w:b/>
          <w:bCs/>
          <w:sz w:val="22"/>
          <w:szCs w:val="22"/>
        </w:rPr>
        <w:t xml:space="preserve"> Design</w:t>
      </w:r>
      <w:r w:rsidR="00CA17AA" w:rsidRPr="005430F4">
        <w:rPr>
          <w:rFonts w:ascii="Arial" w:hAnsi="Arial" w:cs="Arial"/>
          <w:bCs/>
          <w:sz w:val="22"/>
          <w:szCs w:val="22"/>
        </w:rPr>
        <w:t xml:space="preserve">:  </w:t>
      </w:r>
    </w:p>
    <w:p w14:paraId="1BD4CCC3" w14:textId="77777777" w:rsidR="004964BE" w:rsidRPr="005430F4" w:rsidRDefault="004964BE" w:rsidP="00CA17AA">
      <w:pPr>
        <w:rPr>
          <w:rFonts w:ascii="Arial" w:hAnsi="Arial" w:cs="Arial"/>
          <w:bCs/>
          <w:sz w:val="22"/>
          <w:szCs w:val="22"/>
        </w:rPr>
      </w:pPr>
    </w:p>
    <w:p w14:paraId="4DC00565" w14:textId="074F35F4" w:rsidR="000914D0" w:rsidRDefault="000914D0" w:rsidP="00CA17AA">
      <w:pPr>
        <w:rPr>
          <w:rFonts w:ascii="Arial" w:hAnsi="Arial" w:cs="Arial"/>
          <w:bCs/>
          <w:sz w:val="22"/>
          <w:szCs w:val="22"/>
        </w:rPr>
      </w:pPr>
      <w:r>
        <w:rPr>
          <w:rFonts w:ascii="Arial" w:hAnsi="Arial" w:cs="Arial"/>
          <w:bCs/>
          <w:sz w:val="22"/>
          <w:szCs w:val="22"/>
        </w:rPr>
        <w:t xml:space="preserve">There is an identified archaeological area which straddles the site’s southern boundary. </w:t>
      </w:r>
      <w:r w:rsidR="00D60BBF">
        <w:rPr>
          <w:rFonts w:ascii="Arial" w:hAnsi="Arial" w:cs="Arial"/>
          <w:bCs/>
          <w:sz w:val="22"/>
          <w:szCs w:val="22"/>
        </w:rPr>
        <w:t xml:space="preserve">In this respect, it is noted that the Council’s Archaeological Officer has advised that an appropriate condition requiring a Written Scheme of Investigation imposed. </w:t>
      </w:r>
      <w:r>
        <w:rPr>
          <w:rFonts w:ascii="Arial" w:hAnsi="Arial" w:cs="Arial"/>
          <w:bCs/>
          <w:sz w:val="22"/>
          <w:szCs w:val="22"/>
        </w:rPr>
        <w:t xml:space="preserve"> </w:t>
      </w:r>
    </w:p>
    <w:p w14:paraId="5A9BC224" w14:textId="77777777" w:rsidR="000914D0" w:rsidRDefault="000914D0" w:rsidP="00CA17AA">
      <w:pPr>
        <w:rPr>
          <w:rFonts w:ascii="Arial" w:hAnsi="Arial" w:cs="Arial"/>
          <w:bCs/>
          <w:sz w:val="22"/>
          <w:szCs w:val="22"/>
        </w:rPr>
      </w:pPr>
    </w:p>
    <w:p w14:paraId="596EC7D1" w14:textId="2C77DA40" w:rsidR="00D60BBF" w:rsidRDefault="00CA17AA" w:rsidP="00CA17AA">
      <w:pPr>
        <w:rPr>
          <w:rFonts w:ascii="Arial" w:hAnsi="Arial" w:cs="Arial"/>
          <w:bCs/>
          <w:sz w:val="22"/>
          <w:szCs w:val="22"/>
        </w:rPr>
      </w:pPr>
      <w:r w:rsidRPr="005430F4">
        <w:rPr>
          <w:rFonts w:ascii="Arial" w:hAnsi="Arial" w:cs="Arial"/>
          <w:bCs/>
          <w:sz w:val="22"/>
          <w:szCs w:val="22"/>
        </w:rPr>
        <w:t xml:space="preserve">The site is surrounded by the St Faith’s conservation area to its east, south and west boundaries.  </w:t>
      </w:r>
      <w:r w:rsidR="005430F4" w:rsidRPr="005430F4">
        <w:rPr>
          <w:rFonts w:ascii="Arial" w:hAnsi="Arial" w:cs="Arial"/>
          <w:bCs/>
          <w:sz w:val="22"/>
          <w:szCs w:val="22"/>
        </w:rPr>
        <w:t>Alt</w:t>
      </w:r>
      <w:r w:rsidRPr="005430F4">
        <w:rPr>
          <w:rFonts w:ascii="Arial" w:hAnsi="Arial" w:cs="Arial"/>
          <w:bCs/>
          <w:sz w:val="22"/>
          <w:szCs w:val="22"/>
        </w:rPr>
        <w:t xml:space="preserve">hough not in the conservation area itself, the redevelopment </w:t>
      </w:r>
      <w:r w:rsidR="00F6330E">
        <w:rPr>
          <w:rFonts w:ascii="Arial" w:hAnsi="Arial" w:cs="Arial"/>
          <w:bCs/>
          <w:sz w:val="22"/>
          <w:szCs w:val="22"/>
        </w:rPr>
        <w:t xml:space="preserve">would </w:t>
      </w:r>
      <w:r w:rsidRPr="005430F4">
        <w:rPr>
          <w:rFonts w:ascii="Arial" w:hAnsi="Arial" w:cs="Arial"/>
          <w:bCs/>
          <w:sz w:val="22"/>
          <w:szCs w:val="22"/>
        </w:rPr>
        <w:t xml:space="preserve">have </w:t>
      </w:r>
      <w:r w:rsidR="00F6330E">
        <w:rPr>
          <w:rFonts w:ascii="Arial" w:hAnsi="Arial" w:cs="Arial"/>
          <w:bCs/>
          <w:sz w:val="22"/>
          <w:szCs w:val="22"/>
        </w:rPr>
        <w:t>an impact</w:t>
      </w:r>
      <w:r w:rsidRPr="005430F4">
        <w:rPr>
          <w:rFonts w:ascii="Arial" w:hAnsi="Arial" w:cs="Arial"/>
          <w:bCs/>
          <w:sz w:val="22"/>
          <w:szCs w:val="22"/>
        </w:rPr>
        <w:t xml:space="preserve"> upon the </w:t>
      </w:r>
      <w:r w:rsidR="005430F4" w:rsidRPr="005430F4">
        <w:rPr>
          <w:rFonts w:ascii="Arial" w:hAnsi="Arial" w:cs="Arial"/>
          <w:bCs/>
          <w:sz w:val="22"/>
          <w:szCs w:val="22"/>
        </w:rPr>
        <w:t xml:space="preserve">conservation </w:t>
      </w:r>
      <w:r w:rsidR="00F6330E">
        <w:rPr>
          <w:rFonts w:ascii="Arial" w:hAnsi="Arial" w:cs="Arial"/>
          <w:bCs/>
          <w:sz w:val="22"/>
          <w:szCs w:val="22"/>
        </w:rPr>
        <w:t>area</w:t>
      </w:r>
      <w:r w:rsidR="00D60BBF">
        <w:rPr>
          <w:rFonts w:ascii="Arial" w:hAnsi="Arial" w:cs="Arial"/>
          <w:bCs/>
          <w:sz w:val="22"/>
          <w:szCs w:val="22"/>
        </w:rPr>
        <w:t xml:space="preserve">. As such, it will be of </w:t>
      </w:r>
      <w:proofErr w:type="gramStart"/>
      <w:r w:rsidR="00D60BBF">
        <w:rPr>
          <w:rFonts w:ascii="Arial" w:hAnsi="Arial" w:cs="Arial"/>
          <w:bCs/>
          <w:sz w:val="22"/>
          <w:szCs w:val="22"/>
        </w:rPr>
        <w:t>particular relevance</w:t>
      </w:r>
      <w:proofErr w:type="gramEnd"/>
      <w:r w:rsidR="00D60BBF">
        <w:rPr>
          <w:rFonts w:ascii="Arial" w:hAnsi="Arial" w:cs="Arial"/>
          <w:bCs/>
          <w:sz w:val="22"/>
          <w:szCs w:val="22"/>
        </w:rPr>
        <w:t xml:space="preserve"> to assess the impact of the increased height of the revised scheme which is four storeys in part. The Council’s Conservation Officer </w:t>
      </w:r>
      <w:r w:rsidR="005706FA">
        <w:rPr>
          <w:rFonts w:ascii="Arial" w:hAnsi="Arial" w:cs="Arial"/>
          <w:bCs/>
          <w:sz w:val="22"/>
          <w:szCs w:val="22"/>
        </w:rPr>
        <w:t>will b</w:t>
      </w:r>
      <w:r w:rsidR="00D60BBF">
        <w:rPr>
          <w:rFonts w:ascii="Arial" w:hAnsi="Arial" w:cs="Arial"/>
          <w:bCs/>
          <w:sz w:val="22"/>
          <w:szCs w:val="22"/>
        </w:rPr>
        <w:t xml:space="preserve">e able to provide further advice on this matter. </w:t>
      </w:r>
    </w:p>
    <w:p w14:paraId="0CFC8280" w14:textId="4E271349" w:rsidR="005706FA" w:rsidRDefault="005706FA" w:rsidP="00CA17AA">
      <w:pPr>
        <w:rPr>
          <w:rFonts w:ascii="Arial" w:hAnsi="Arial" w:cs="Arial"/>
          <w:bCs/>
          <w:sz w:val="22"/>
          <w:szCs w:val="22"/>
        </w:rPr>
      </w:pPr>
    </w:p>
    <w:p w14:paraId="4C1BA67E" w14:textId="51F45E2C" w:rsidR="005706FA" w:rsidRDefault="005706FA" w:rsidP="00CA17AA">
      <w:pPr>
        <w:rPr>
          <w:rFonts w:ascii="Arial" w:hAnsi="Arial" w:cs="Arial"/>
          <w:bCs/>
          <w:sz w:val="22"/>
          <w:szCs w:val="22"/>
        </w:rPr>
      </w:pPr>
      <w:r>
        <w:rPr>
          <w:rFonts w:ascii="Arial" w:hAnsi="Arial" w:cs="Arial"/>
          <w:bCs/>
          <w:sz w:val="22"/>
          <w:szCs w:val="22"/>
        </w:rPr>
        <w:t>It should also be noted that emerging Policy H3 of the Pre-Submission Plan supports densities of a minimum of 70 dwellings per hectare (</w:t>
      </w:r>
      <w:proofErr w:type="spellStart"/>
      <w:r>
        <w:rPr>
          <w:rFonts w:ascii="Arial" w:hAnsi="Arial" w:cs="Arial"/>
          <w:bCs/>
          <w:sz w:val="22"/>
          <w:szCs w:val="22"/>
        </w:rPr>
        <w:t>dph</w:t>
      </w:r>
      <w:proofErr w:type="spellEnd"/>
      <w:r>
        <w:rPr>
          <w:rFonts w:ascii="Arial" w:hAnsi="Arial" w:cs="Arial"/>
          <w:bCs/>
          <w:sz w:val="22"/>
          <w:szCs w:val="22"/>
        </w:rPr>
        <w:t xml:space="preserve">), of which this development would support a density of 300 </w:t>
      </w:r>
      <w:proofErr w:type="spellStart"/>
      <w:r>
        <w:rPr>
          <w:rFonts w:ascii="Arial" w:hAnsi="Arial" w:cs="Arial"/>
          <w:bCs/>
          <w:sz w:val="22"/>
          <w:szCs w:val="22"/>
        </w:rPr>
        <w:t>dph</w:t>
      </w:r>
      <w:proofErr w:type="spellEnd"/>
      <w:r>
        <w:rPr>
          <w:rFonts w:ascii="Arial" w:hAnsi="Arial" w:cs="Arial"/>
          <w:bCs/>
          <w:sz w:val="22"/>
          <w:szCs w:val="22"/>
        </w:rPr>
        <w:t xml:space="preserve">. In such cases, development will be expected to provide distinctive character and ratification within building design and the overall development. In addition, paragraph 6.35 of the supporting text indicates that the management of such schemes is important and should be considered in the overall design of the scheme. </w:t>
      </w:r>
    </w:p>
    <w:p w14:paraId="26CD9188" w14:textId="3754D630" w:rsidR="005706FA" w:rsidRDefault="005706FA" w:rsidP="00CA17AA">
      <w:pPr>
        <w:rPr>
          <w:rFonts w:ascii="Arial" w:hAnsi="Arial" w:cs="Arial"/>
          <w:bCs/>
          <w:sz w:val="22"/>
          <w:szCs w:val="22"/>
        </w:rPr>
      </w:pPr>
    </w:p>
    <w:p w14:paraId="549155AF" w14:textId="5311F019" w:rsidR="004304C9" w:rsidRPr="005706FA" w:rsidRDefault="005706FA" w:rsidP="003E457A">
      <w:pPr>
        <w:rPr>
          <w:rFonts w:ascii="Arial" w:hAnsi="Arial" w:cs="Arial"/>
          <w:bCs/>
          <w:sz w:val="22"/>
          <w:szCs w:val="22"/>
        </w:rPr>
      </w:pPr>
      <w:r>
        <w:rPr>
          <w:rFonts w:ascii="Arial" w:hAnsi="Arial" w:cs="Arial"/>
          <w:bCs/>
          <w:sz w:val="22"/>
          <w:szCs w:val="22"/>
        </w:rPr>
        <w:t>Given the proposed increase in height, it is also of relevance to consider criterion 1) e) of Policy CS16 of the Core Strategy and criterion c. e of emerging E1 are of relevance in relation to assessing the impact of residential amenity of neighbouring occupiers.</w:t>
      </w:r>
    </w:p>
    <w:p w14:paraId="669107D1" w14:textId="77777777" w:rsidR="00D507C8" w:rsidRPr="004964BE" w:rsidRDefault="00D507C8" w:rsidP="00D507C8">
      <w:pPr>
        <w:rPr>
          <w:rFonts w:ascii="Arial" w:hAnsi="Arial" w:cs="Arial"/>
          <w:b/>
          <w:bCs/>
          <w:color w:val="0070C0"/>
          <w:sz w:val="22"/>
          <w:szCs w:val="22"/>
        </w:rPr>
      </w:pPr>
    </w:p>
    <w:p w14:paraId="64E5D6AF" w14:textId="77777777" w:rsidR="004964BE" w:rsidRDefault="00D507C8" w:rsidP="00D507C8">
      <w:pPr>
        <w:rPr>
          <w:rFonts w:ascii="Arial" w:hAnsi="Arial" w:cs="Arial"/>
          <w:b/>
          <w:bCs/>
          <w:sz w:val="22"/>
          <w:szCs w:val="22"/>
        </w:rPr>
      </w:pPr>
      <w:r w:rsidRPr="003058E0">
        <w:rPr>
          <w:rFonts w:ascii="Arial" w:hAnsi="Arial" w:cs="Arial"/>
          <w:b/>
          <w:bCs/>
          <w:sz w:val="22"/>
          <w:szCs w:val="22"/>
        </w:rPr>
        <w:t>Parking:</w:t>
      </w:r>
      <w:r w:rsidR="005864CB" w:rsidRPr="003058E0">
        <w:rPr>
          <w:rFonts w:ascii="Arial" w:hAnsi="Arial" w:cs="Arial"/>
          <w:b/>
          <w:bCs/>
          <w:sz w:val="22"/>
          <w:szCs w:val="22"/>
        </w:rPr>
        <w:t xml:space="preserve"> </w:t>
      </w:r>
    </w:p>
    <w:p w14:paraId="6069D7C8" w14:textId="7B1E07D9" w:rsidR="00414FB2" w:rsidRDefault="00414FB2" w:rsidP="00D507C8">
      <w:pPr>
        <w:rPr>
          <w:rFonts w:ascii="Arial" w:hAnsi="Arial" w:cs="Arial"/>
          <w:b/>
          <w:bCs/>
          <w:sz w:val="22"/>
          <w:szCs w:val="22"/>
        </w:rPr>
      </w:pPr>
    </w:p>
    <w:p w14:paraId="49FD27A3" w14:textId="77777777" w:rsidR="00A97F08" w:rsidRDefault="00A97F08" w:rsidP="00A97F08">
      <w:pPr>
        <w:rPr>
          <w:rFonts w:ascii="Arial" w:hAnsi="Arial" w:cs="Arial"/>
          <w:sz w:val="22"/>
          <w:szCs w:val="22"/>
        </w:rPr>
      </w:pPr>
      <w:r>
        <w:rPr>
          <w:rFonts w:ascii="Arial" w:hAnsi="Arial" w:cs="Arial"/>
          <w:sz w:val="22"/>
          <w:szCs w:val="22"/>
        </w:rPr>
        <w:t xml:space="preserve">The proposals would need to ensure that appropriate parking provision is provided in accordance with Policy DM13, emerging policy IN3 and the Council’s Parking SPD. </w:t>
      </w:r>
    </w:p>
    <w:p w14:paraId="02419ECC" w14:textId="77777777" w:rsidR="004079A0" w:rsidRDefault="004079A0" w:rsidP="00D507C8">
      <w:pPr>
        <w:rPr>
          <w:rFonts w:ascii="Arial" w:hAnsi="Arial" w:cs="Arial"/>
          <w:bCs/>
          <w:sz w:val="22"/>
        </w:rPr>
      </w:pPr>
    </w:p>
    <w:p w14:paraId="2A75BA0C" w14:textId="76B30DA6" w:rsidR="004079A0" w:rsidRDefault="004079A0" w:rsidP="00D507C8">
      <w:pPr>
        <w:rPr>
          <w:rFonts w:ascii="Arial" w:hAnsi="Arial" w:cs="Arial"/>
          <w:bCs/>
          <w:sz w:val="22"/>
        </w:rPr>
      </w:pPr>
      <w:r>
        <w:rPr>
          <w:rFonts w:ascii="Arial" w:hAnsi="Arial" w:cs="Arial"/>
          <w:bCs/>
          <w:sz w:val="22"/>
        </w:rPr>
        <w:t>The submitted Planning and Design &amp; Access Statements</w:t>
      </w:r>
      <w:r w:rsidR="00A97F08">
        <w:rPr>
          <w:rFonts w:ascii="Arial" w:hAnsi="Arial" w:cs="Arial"/>
          <w:bCs/>
          <w:sz w:val="22"/>
        </w:rPr>
        <w:t xml:space="preserve"> states</w:t>
      </w:r>
      <w:r>
        <w:rPr>
          <w:rFonts w:ascii="Arial" w:hAnsi="Arial" w:cs="Arial"/>
          <w:bCs/>
          <w:sz w:val="22"/>
        </w:rPr>
        <w:t xml:space="preserve"> that:</w:t>
      </w:r>
    </w:p>
    <w:p w14:paraId="016F3236" w14:textId="77777777" w:rsidR="004079A0" w:rsidRDefault="004079A0" w:rsidP="00D507C8">
      <w:pPr>
        <w:rPr>
          <w:rFonts w:ascii="Arial" w:hAnsi="Arial" w:cs="Arial"/>
          <w:bCs/>
          <w:sz w:val="22"/>
        </w:rPr>
      </w:pPr>
    </w:p>
    <w:p w14:paraId="21E5EF8D" w14:textId="77777777" w:rsidR="004079A0" w:rsidRPr="004079A0" w:rsidRDefault="004079A0" w:rsidP="004079A0">
      <w:pPr>
        <w:ind w:firstLine="720"/>
        <w:rPr>
          <w:rFonts w:ascii="Arial" w:hAnsi="Arial" w:cs="Arial"/>
          <w:bCs/>
          <w:i/>
          <w:sz w:val="22"/>
          <w:szCs w:val="22"/>
        </w:rPr>
      </w:pPr>
      <w:r w:rsidRPr="004079A0">
        <w:rPr>
          <w:rFonts w:ascii="Arial" w:hAnsi="Arial" w:cs="Arial"/>
          <w:bCs/>
          <w:i/>
          <w:sz w:val="22"/>
          <w:szCs w:val="22"/>
        </w:rPr>
        <w:t>‘’The proposed development seeks to exploit the very accessible and sustainable</w:t>
      </w:r>
    </w:p>
    <w:p w14:paraId="0D23B4F7" w14:textId="77777777" w:rsidR="004079A0" w:rsidRPr="004079A0" w:rsidRDefault="004079A0" w:rsidP="004079A0">
      <w:pPr>
        <w:ind w:firstLine="720"/>
        <w:rPr>
          <w:rFonts w:ascii="Arial" w:hAnsi="Arial" w:cs="Arial"/>
          <w:bCs/>
          <w:i/>
          <w:sz w:val="22"/>
          <w:szCs w:val="22"/>
        </w:rPr>
      </w:pPr>
      <w:r w:rsidRPr="004079A0">
        <w:rPr>
          <w:rFonts w:ascii="Arial" w:hAnsi="Arial" w:cs="Arial"/>
          <w:bCs/>
          <w:i/>
          <w:sz w:val="22"/>
          <w:szCs w:val="22"/>
        </w:rPr>
        <w:t>location where lifestyle is not dependent upon use of the car. In this respect no car</w:t>
      </w:r>
    </w:p>
    <w:p w14:paraId="2DE22450" w14:textId="4E1F8CEB" w:rsidR="004079A0" w:rsidRDefault="004079A0" w:rsidP="004079A0">
      <w:pPr>
        <w:ind w:firstLine="720"/>
        <w:rPr>
          <w:rFonts w:ascii="Arial" w:hAnsi="Arial" w:cs="Arial"/>
          <w:bCs/>
          <w:i/>
          <w:sz w:val="22"/>
          <w:szCs w:val="22"/>
        </w:rPr>
      </w:pPr>
      <w:r w:rsidRPr="004079A0">
        <w:rPr>
          <w:rFonts w:ascii="Arial" w:hAnsi="Arial" w:cs="Arial"/>
          <w:bCs/>
          <w:i/>
          <w:sz w:val="22"/>
          <w:szCs w:val="22"/>
        </w:rPr>
        <w:t>parking is to be provided’’.</w:t>
      </w:r>
    </w:p>
    <w:p w14:paraId="6F1092F6" w14:textId="69E2EA0A" w:rsidR="00A97F08" w:rsidRDefault="00A97F08" w:rsidP="00A97F08">
      <w:pPr>
        <w:rPr>
          <w:rFonts w:ascii="Arial" w:hAnsi="Arial" w:cs="Arial"/>
          <w:bCs/>
          <w:i/>
          <w:sz w:val="22"/>
          <w:szCs w:val="22"/>
        </w:rPr>
      </w:pPr>
    </w:p>
    <w:p w14:paraId="41397972" w14:textId="074D27EB" w:rsidR="00A97F08" w:rsidRDefault="004D7332" w:rsidP="00A97F08">
      <w:pPr>
        <w:rPr>
          <w:rFonts w:ascii="Arial" w:hAnsi="Arial" w:cs="Arial"/>
          <w:bCs/>
          <w:iCs/>
          <w:sz w:val="22"/>
          <w:szCs w:val="22"/>
        </w:rPr>
      </w:pPr>
      <w:r>
        <w:rPr>
          <w:rFonts w:ascii="Arial" w:hAnsi="Arial" w:cs="Arial"/>
          <w:bCs/>
          <w:iCs/>
          <w:sz w:val="22"/>
          <w:szCs w:val="22"/>
        </w:rPr>
        <w:t xml:space="preserve">Paragraph 3.06 of the SPD indicates that where a reduced level of parking provision is considered, the design and layout must include </w:t>
      </w:r>
      <w:proofErr w:type="gramStart"/>
      <w:r>
        <w:rPr>
          <w:rFonts w:ascii="Arial" w:hAnsi="Arial" w:cs="Arial"/>
          <w:bCs/>
          <w:iCs/>
          <w:sz w:val="22"/>
          <w:szCs w:val="22"/>
        </w:rPr>
        <w:t>sufficient</w:t>
      </w:r>
      <w:proofErr w:type="gramEnd"/>
      <w:r>
        <w:rPr>
          <w:rFonts w:ascii="Arial" w:hAnsi="Arial" w:cs="Arial"/>
          <w:bCs/>
          <w:iCs/>
          <w:sz w:val="22"/>
          <w:szCs w:val="22"/>
        </w:rPr>
        <w:t xml:space="preserve"> space for servicing, loading and drop off, courier and supermarket deliveries. In this respect, </w:t>
      </w:r>
      <w:r w:rsidR="00A97F08">
        <w:rPr>
          <w:rFonts w:ascii="Arial" w:hAnsi="Arial" w:cs="Arial"/>
          <w:bCs/>
          <w:iCs/>
          <w:sz w:val="22"/>
          <w:szCs w:val="22"/>
        </w:rPr>
        <w:t xml:space="preserve">2.0m depth lay-by is </w:t>
      </w:r>
      <w:r>
        <w:rPr>
          <w:rFonts w:ascii="Arial" w:hAnsi="Arial" w:cs="Arial"/>
          <w:bCs/>
          <w:iCs/>
          <w:sz w:val="22"/>
          <w:szCs w:val="22"/>
        </w:rPr>
        <w:t xml:space="preserve">proposed </w:t>
      </w:r>
      <w:r w:rsidR="00A97F08">
        <w:rPr>
          <w:rFonts w:ascii="Arial" w:hAnsi="Arial" w:cs="Arial"/>
          <w:bCs/>
          <w:iCs/>
          <w:sz w:val="22"/>
          <w:szCs w:val="22"/>
        </w:rPr>
        <w:t xml:space="preserve">alongside the main entrance area which will facilitate deliveries and drop off for both residential and commercial purposes. </w:t>
      </w:r>
    </w:p>
    <w:p w14:paraId="5797D236" w14:textId="77777777" w:rsidR="0052729C" w:rsidRDefault="0052729C" w:rsidP="00D507C8">
      <w:pPr>
        <w:rPr>
          <w:rFonts w:ascii="Arial" w:hAnsi="Arial" w:cs="Arial"/>
          <w:bCs/>
          <w:sz w:val="22"/>
        </w:rPr>
      </w:pPr>
    </w:p>
    <w:p w14:paraId="41C076AF" w14:textId="6C6D2AF2" w:rsidR="00A52003" w:rsidRDefault="0052729C" w:rsidP="00D507C8">
      <w:pPr>
        <w:rPr>
          <w:rFonts w:ascii="Arial" w:hAnsi="Arial" w:cs="Arial"/>
          <w:bCs/>
          <w:sz w:val="22"/>
        </w:rPr>
      </w:pPr>
      <w:r>
        <w:rPr>
          <w:rFonts w:ascii="Arial" w:hAnsi="Arial" w:cs="Arial"/>
          <w:bCs/>
          <w:sz w:val="22"/>
        </w:rPr>
        <w:t xml:space="preserve">The SPD acknowledges that </w:t>
      </w:r>
      <w:r w:rsidR="00CF3C9A">
        <w:rPr>
          <w:rFonts w:ascii="Arial" w:hAnsi="Arial" w:cs="Arial"/>
          <w:bCs/>
          <w:sz w:val="22"/>
        </w:rPr>
        <w:t xml:space="preserve">Havant Town Centre offers the widest choice in alternative transport with a mainline train station and a bus station that provides services across the Borough and to Portsmouth, Chichester and beyond. </w:t>
      </w:r>
      <w:r w:rsidR="004D7332">
        <w:rPr>
          <w:rFonts w:ascii="Arial" w:hAnsi="Arial" w:cs="Arial"/>
          <w:bCs/>
          <w:sz w:val="22"/>
        </w:rPr>
        <w:t xml:space="preserve">Specifically, the September 2019 included the following addition at paragraph 3.05: </w:t>
      </w:r>
    </w:p>
    <w:p w14:paraId="04AC1495" w14:textId="77777777" w:rsidR="00A52003" w:rsidRDefault="00A52003" w:rsidP="00D507C8">
      <w:pPr>
        <w:rPr>
          <w:rFonts w:ascii="Arial" w:hAnsi="Arial" w:cs="Arial"/>
          <w:bCs/>
          <w:sz w:val="22"/>
        </w:rPr>
      </w:pPr>
    </w:p>
    <w:p w14:paraId="1A8D5EB7" w14:textId="3AE36509" w:rsidR="00A52003" w:rsidRPr="004D7332" w:rsidRDefault="004D7332" w:rsidP="00D507C8">
      <w:pPr>
        <w:rPr>
          <w:rFonts w:ascii="Arial" w:hAnsi="Arial" w:cs="Arial"/>
          <w:i/>
          <w:iCs/>
          <w:sz w:val="22"/>
          <w:szCs w:val="22"/>
        </w:rPr>
      </w:pPr>
      <w:r w:rsidRPr="004D7332">
        <w:rPr>
          <w:rFonts w:ascii="Arial" w:hAnsi="Arial" w:cs="Arial"/>
          <w:bCs/>
          <w:i/>
          <w:iCs/>
          <w:sz w:val="22"/>
          <w:szCs w:val="22"/>
        </w:rPr>
        <w:t>“</w:t>
      </w:r>
      <w:r w:rsidR="00A52003" w:rsidRPr="004D7332">
        <w:rPr>
          <w:rFonts w:ascii="Arial" w:hAnsi="Arial" w:cs="Arial"/>
          <w:i/>
          <w:iCs/>
          <w:sz w:val="22"/>
          <w:szCs w:val="22"/>
        </w:rPr>
        <w:t>Proposals within Havant and Waterlooville Town Centres</w:t>
      </w:r>
      <w:r w:rsidR="00186B91">
        <w:rPr>
          <w:rFonts w:ascii="Arial" w:hAnsi="Arial" w:cs="Arial"/>
          <w:i/>
          <w:iCs/>
          <w:sz w:val="22"/>
          <w:szCs w:val="22"/>
        </w:rPr>
        <w:t xml:space="preserve">, as defined in the Havant Borough Local Plan 2036, may be suitable for a lower level of car provision </w:t>
      </w:r>
      <w:r w:rsidR="00A52003" w:rsidRPr="004D7332">
        <w:rPr>
          <w:rFonts w:ascii="Arial" w:hAnsi="Arial" w:cs="Arial"/>
          <w:i/>
          <w:iCs/>
          <w:sz w:val="22"/>
          <w:szCs w:val="22"/>
        </w:rPr>
        <w:t xml:space="preserve">compared to the rest of the Borough. </w:t>
      </w:r>
      <w:proofErr w:type="gramStart"/>
      <w:r w:rsidR="00A52003" w:rsidRPr="004D7332">
        <w:rPr>
          <w:rFonts w:ascii="Arial" w:hAnsi="Arial" w:cs="Arial"/>
          <w:i/>
          <w:iCs/>
          <w:sz w:val="22"/>
          <w:szCs w:val="22"/>
        </w:rPr>
        <w:t>However</w:t>
      </w:r>
      <w:proofErr w:type="gramEnd"/>
      <w:r w:rsidR="00A52003" w:rsidRPr="004D7332">
        <w:rPr>
          <w:rFonts w:ascii="Arial" w:hAnsi="Arial" w:cs="Arial"/>
          <w:i/>
          <w:iCs/>
          <w:sz w:val="22"/>
          <w:szCs w:val="22"/>
        </w:rPr>
        <w:t xml:space="preserve"> zero parking development schemes would not be supported for major development</w:t>
      </w:r>
      <w:r w:rsidR="00186B91">
        <w:rPr>
          <w:rFonts w:ascii="Arial" w:hAnsi="Arial" w:cs="Arial"/>
          <w:i/>
          <w:iCs/>
          <w:sz w:val="22"/>
          <w:szCs w:val="22"/>
        </w:rPr>
        <w:t xml:space="preserve"> in Waterlooville Town Centre given its comparatively lower level of accessibility</w:t>
      </w:r>
      <w:r w:rsidR="00A52003" w:rsidRPr="004D7332">
        <w:rPr>
          <w:rFonts w:ascii="Arial" w:hAnsi="Arial" w:cs="Arial"/>
          <w:i/>
          <w:iCs/>
          <w:sz w:val="22"/>
          <w:szCs w:val="22"/>
        </w:rPr>
        <w:t>. The level of parking to be provided must be based on the nature and scale of development, access to shops and services together with public transport accessibility.</w:t>
      </w:r>
      <w:r w:rsidR="00186B91">
        <w:rPr>
          <w:rFonts w:ascii="Arial" w:hAnsi="Arial" w:cs="Arial"/>
          <w:i/>
          <w:iCs/>
          <w:sz w:val="22"/>
          <w:szCs w:val="22"/>
        </w:rPr>
        <w:t xml:space="preserve"> Utilising near-site parking in dedicated car parks (not on-street parking) should be considered together with demand based measures to reduce parking pressure.”</w:t>
      </w:r>
    </w:p>
    <w:p w14:paraId="2F19DD8D" w14:textId="22F784A2" w:rsidR="00A52003" w:rsidRDefault="00A52003" w:rsidP="00D507C8"/>
    <w:p w14:paraId="780C3412" w14:textId="77777777" w:rsidR="00186B91" w:rsidRDefault="00053DC3" w:rsidP="00D507C8">
      <w:pPr>
        <w:rPr>
          <w:rFonts w:ascii="Arial" w:hAnsi="Arial" w:cs="Arial"/>
          <w:sz w:val="22"/>
          <w:szCs w:val="22"/>
        </w:rPr>
      </w:pPr>
      <w:r w:rsidRPr="00053DC3">
        <w:rPr>
          <w:rFonts w:ascii="Arial" w:hAnsi="Arial" w:cs="Arial"/>
          <w:sz w:val="22"/>
          <w:szCs w:val="22"/>
        </w:rPr>
        <w:t>In this respect, section 4 of the submitted Transport Statement sets out the site’s accessibility to public transport and availability of public parking in the vicinity of the site.</w:t>
      </w:r>
      <w:r w:rsidR="00627F4E">
        <w:rPr>
          <w:rFonts w:ascii="Arial" w:hAnsi="Arial" w:cs="Arial"/>
          <w:sz w:val="22"/>
          <w:szCs w:val="22"/>
        </w:rPr>
        <w:t xml:space="preserve"> In particular, paragraph 4.3 notes that </w:t>
      </w:r>
      <w:proofErr w:type="gramStart"/>
      <w:r w:rsidR="00627F4E">
        <w:rPr>
          <w:rFonts w:ascii="Arial" w:hAnsi="Arial" w:cs="Arial"/>
          <w:sz w:val="22"/>
          <w:szCs w:val="22"/>
        </w:rPr>
        <w:t>the majority of</w:t>
      </w:r>
      <w:proofErr w:type="gramEnd"/>
      <w:r w:rsidR="00627F4E">
        <w:rPr>
          <w:rFonts w:ascii="Arial" w:hAnsi="Arial" w:cs="Arial"/>
          <w:sz w:val="22"/>
          <w:szCs w:val="22"/>
        </w:rPr>
        <w:t xml:space="preserve"> residents will not own a car and staff of the retail units would not need to use a car to get to work. Furthermore, it </w:t>
      </w:r>
      <w:r w:rsidR="00186B91">
        <w:rPr>
          <w:rFonts w:ascii="Arial" w:hAnsi="Arial" w:cs="Arial"/>
          <w:sz w:val="22"/>
          <w:szCs w:val="22"/>
        </w:rPr>
        <w:t xml:space="preserve">should be </w:t>
      </w:r>
      <w:r w:rsidR="00627F4E">
        <w:rPr>
          <w:rFonts w:ascii="Arial" w:hAnsi="Arial" w:cs="Arial"/>
          <w:sz w:val="22"/>
          <w:szCs w:val="22"/>
        </w:rPr>
        <w:t>noted that</w:t>
      </w:r>
      <w:r w:rsidR="00186B91">
        <w:rPr>
          <w:rFonts w:ascii="Arial" w:hAnsi="Arial" w:cs="Arial"/>
          <w:sz w:val="22"/>
          <w:szCs w:val="22"/>
        </w:rPr>
        <w:t xml:space="preserve"> a policy objection would not arise in the context of</w:t>
      </w:r>
      <w:r w:rsidR="00627F4E">
        <w:rPr>
          <w:rFonts w:ascii="Arial" w:hAnsi="Arial" w:cs="Arial"/>
          <w:sz w:val="22"/>
          <w:szCs w:val="22"/>
        </w:rPr>
        <w:t xml:space="preserve"> zero parking </w:t>
      </w:r>
      <w:r w:rsidR="00186B91">
        <w:rPr>
          <w:rFonts w:ascii="Arial" w:hAnsi="Arial" w:cs="Arial"/>
          <w:sz w:val="22"/>
          <w:szCs w:val="22"/>
        </w:rPr>
        <w:t xml:space="preserve">provision in Havant Town Centre. </w:t>
      </w:r>
    </w:p>
    <w:p w14:paraId="0CA8113F" w14:textId="4FFC3180" w:rsidR="00053DC3" w:rsidRPr="00053DC3" w:rsidRDefault="00186B91" w:rsidP="00D507C8">
      <w:pPr>
        <w:rPr>
          <w:rFonts w:ascii="Arial" w:hAnsi="Arial" w:cs="Arial"/>
          <w:sz w:val="22"/>
          <w:szCs w:val="22"/>
        </w:rPr>
      </w:pPr>
      <w:r>
        <w:rPr>
          <w:rFonts w:ascii="Arial" w:hAnsi="Arial" w:cs="Arial"/>
          <w:sz w:val="22"/>
          <w:szCs w:val="22"/>
        </w:rPr>
        <w:t xml:space="preserve">The </w:t>
      </w:r>
      <w:r w:rsidR="00627F4E">
        <w:rPr>
          <w:rFonts w:ascii="Arial" w:hAnsi="Arial" w:cs="Arial"/>
          <w:sz w:val="22"/>
          <w:szCs w:val="22"/>
        </w:rPr>
        <w:t xml:space="preserve">extant permission for 21 units </w:t>
      </w:r>
      <w:r>
        <w:rPr>
          <w:rFonts w:ascii="Arial" w:hAnsi="Arial" w:cs="Arial"/>
          <w:sz w:val="22"/>
          <w:szCs w:val="22"/>
        </w:rPr>
        <w:t xml:space="preserve">will also be material in the determination of this application. </w:t>
      </w:r>
    </w:p>
    <w:p w14:paraId="56DB2A96" w14:textId="77777777" w:rsidR="00D507C8" w:rsidRDefault="00D507C8">
      <w:pPr>
        <w:rPr>
          <w:rFonts w:ascii="Arial" w:hAnsi="Arial" w:cs="Arial"/>
          <w:bCs/>
          <w:sz w:val="22"/>
          <w:szCs w:val="22"/>
        </w:rPr>
      </w:pPr>
    </w:p>
    <w:p w14:paraId="30FD8F24" w14:textId="77777777" w:rsidR="004964BE" w:rsidRDefault="00C51623">
      <w:pPr>
        <w:rPr>
          <w:rFonts w:ascii="Arial" w:hAnsi="Arial" w:cs="Arial"/>
          <w:bCs/>
          <w:sz w:val="22"/>
          <w:szCs w:val="22"/>
        </w:rPr>
      </w:pPr>
      <w:r>
        <w:rPr>
          <w:rFonts w:ascii="Arial" w:hAnsi="Arial" w:cs="Arial"/>
          <w:b/>
          <w:bCs/>
          <w:sz w:val="22"/>
          <w:szCs w:val="22"/>
        </w:rPr>
        <w:t>Summary</w:t>
      </w:r>
      <w:r w:rsidR="00D507C8">
        <w:rPr>
          <w:rFonts w:ascii="Arial" w:hAnsi="Arial" w:cs="Arial"/>
          <w:bCs/>
          <w:sz w:val="22"/>
          <w:szCs w:val="22"/>
        </w:rPr>
        <w:t>:</w:t>
      </w:r>
      <w:r w:rsidR="00560737">
        <w:rPr>
          <w:rFonts w:ascii="Arial" w:hAnsi="Arial" w:cs="Arial"/>
          <w:bCs/>
          <w:sz w:val="22"/>
          <w:szCs w:val="22"/>
        </w:rPr>
        <w:t xml:space="preserve">  </w:t>
      </w:r>
    </w:p>
    <w:p w14:paraId="0A6918F8" w14:textId="77777777" w:rsidR="004964BE" w:rsidRDefault="004964BE">
      <w:pPr>
        <w:rPr>
          <w:rFonts w:ascii="Arial" w:hAnsi="Arial" w:cs="Arial"/>
          <w:bCs/>
          <w:sz w:val="22"/>
          <w:szCs w:val="22"/>
        </w:rPr>
      </w:pPr>
    </w:p>
    <w:p w14:paraId="15510DFC" w14:textId="334B0873" w:rsidR="00627F4E" w:rsidRDefault="00627F4E">
      <w:pPr>
        <w:rPr>
          <w:rFonts w:ascii="Arial" w:hAnsi="Arial" w:cs="Arial"/>
          <w:bCs/>
          <w:sz w:val="22"/>
          <w:szCs w:val="22"/>
        </w:rPr>
      </w:pPr>
      <w:r>
        <w:rPr>
          <w:rFonts w:ascii="Arial" w:hAnsi="Arial" w:cs="Arial"/>
          <w:bCs/>
          <w:sz w:val="22"/>
          <w:szCs w:val="22"/>
        </w:rPr>
        <w:t>This site lies within a highly sustainable location and is highly accessible to public transport provision</w:t>
      </w:r>
      <w:r w:rsidR="00186B91">
        <w:rPr>
          <w:rFonts w:ascii="Arial" w:hAnsi="Arial" w:cs="Arial"/>
          <w:bCs/>
          <w:sz w:val="22"/>
          <w:szCs w:val="22"/>
        </w:rPr>
        <w:t xml:space="preserve"> with a good availability of dedicated public car parks in the surrounding area. As such, the absence of any on-site parking provision </w:t>
      </w:r>
      <w:proofErr w:type="gramStart"/>
      <w:r w:rsidR="00186B91">
        <w:rPr>
          <w:rFonts w:ascii="Arial" w:hAnsi="Arial" w:cs="Arial"/>
          <w:bCs/>
          <w:sz w:val="22"/>
          <w:szCs w:val="22"/>
        </w:rPr>
        <w:t>is considered to be</w:t>
      </w:r>
      <w:proofErr w:type="gramEnd"/>
      <w:r w:rsidR="00186B91">
        <w:rPr>
          <w:rFonts w:ascii="Arial" w:hAnsi="Arial" w:cs="Arial"/>
          <w:bCs/>
          <w:sz w:val="22"/>
          <w:szCs w:val="22"/>
        </w:rPr>
        <w:t xml:space="preserve"> consistent with the aims and objectives of the Parking SPD. The</w:t>
      </w:r>
      <w:r>
        <w:rPr>
          <w:rFonts w:ascii="Arial" w:hAnsi="Arial" w:cs="Arial"/>
          <w:bCs/>
          <w:sz w:val="22"/>
          <w:szCs w:val="22"/>
        </w:rPr>
        <w:t xml:space="preserve"> proposals would </w:t>
      </w:r>
      <w:r w:rsidR="00186B91">
        <w:rPr>
          <w:rFonts w:ascii="Arial" w:hAnsi="Arial" w:cs="Arial"/>
          <w:bCs/>
          <w:sz w:val="22"/>
          <w:szCs w:val="22"/>
        </w:rPr>
        <w:t xml:space="preserve">also </w:t>
      </w:r>
      <w:r>
        <w:rPr>
          <w:rFonts w:ascii="Arial" w:hAnsi="Arial" w:cs="Arial"/>
          <w:bCs/>
          <w:sz w:val="22"/>
          <w:szCs w:val="22"/>
        </w:rPr>
        <w:t xml:space="preserve">help to kickstart the regeneration of the Market Parade area of Havant Town Centre, and </w:t>
      </w:r>
      <w:r w:rsidR="003408BE">
        <w:rPr>
          <w:rFonts w:ascii="Arial" w:hAnsi="Arial" w:cs="Arial"/>
          <w:bCs/>
          <w:sz w:val="22"/>
          <w:szCs w:val="22"/>
        </w:rPr>
        <w:t>would be</w:t>
      </w:r>
      <w:r>
        <w:rPr>
          <w:rFonts w:ascii="Arial" w:hAnsi="Arial" w:cs="Arial"/>
          <w:bCs/>
          <w:sz w:val="22"/>
          <w:szCs w:val="22"/>
        </w:rPr>
        <w:t xml:space="preserve"> consistent with </w:t>
      </w:r>
      <w:r w:rsidR="00186B91">
        <w:rPr>
          <w:rFonts w:ascii="Arial" w:hAnsi="Arial" w:cs="Arial"/>
          <w:bCs/>
          <w:sz w:val="22"/>
          <w:szCs w:val="22"/>
        </w:rPr>
        <w:t>the emerging requirements set out</w:t>
      </w:r>
      <w:r>
        <w:rPr>
          <w:rFonts w:ascii="Arial" w:hAnsi="Arial" w:cs="Arial"/>
          <w:bCs/>
          <w:sz w:val="22"/>
          <w:szCs w:val="22"/>
        </w:rPr>
        <w:t xml:space="preserve"> Policy KP1. </w:t>
      </w:r>
    </w:p>
    <w:p w14:paraId="167DE3DC" w14:textId="77777777" w:rsidR="00627F4E" w:rsidRDefault="00627F4E">
      <w:pPr>
        <w:rPr>
          <w:rFonts w:ascii="Arial" w:hAnsi="Arial" w:cs="Arial"/>
          <w:bCs/>
          <w:sz w:val="22"/>
          <w:szCs w:val="22"/>
        </w:rPr>
      </w:pPr>
    </w:p>
    <w:p w14:paraId="406026D1" w14:textId="4DC25531" w:rsidR="00627F4E" w:rsidRDefault="003408BE">
      <w:pPr>
        <w:rPr>
          <w:rFonts w:ascii="Arial" w:hAnsi="Arial" w:cs="Arial"/>
          <w:bCs/>
          <w:sz w:val="22"/>
          <w:szCs w:val="22"/>
        </w:rPr>
      </w:pPr>
      <w:r>
        <w:rPr>
          <w:rFonts w:ascii="Arial" w:hAnsi="Arial" w:cs="Arial"/>
          <w:bCs/>
          <w:sz w:val="22"/>
          <w:szCs w:val="22"/>
        </w:rPr>
        <w:t>It is recognised that the revised planning application represents an intensification of development relative to the approved scheme. There will be a need to carefully assess the impact on heritage and the residential amenity of neighbouring occupiers accordingly.</w:t>
      </w:r>
    </w:p>
    <w:p w14:paraId="28CE17BD" w14:textId="05718867" w:rsidR="003408BE" w:rsidRDefault="003408BE">
      <w:pPr>
        <w:rPr>
          <w:rFonts w:ascii="Arial" w:hAnsi="Arial" w:cs="Arial"/>
          <w:bCs/>
          <w:sz w:val="22"/>
          <w:szCs w:val="22"/>
        </w:rPr>
      </w:pPr>
    </w:p>
    <w:p w14:paraId="2D1CB7B8" w14:textId="30CE6710" w:rsidR="004304C9" w:rsidRPr="00864C68" w:rsidRDefault="004304C9">
      <w:pPr>
        <w:rPr>
          <w:rFonts w:ascii="Arial" w:hAnsi="Arial" w:cs="Arial"/>
          <w:bCs/>
          <w:sz w:val="22"/>
          <w:szCs w:val="22"/>
        </w:rPr>
      </w:pPr>
    </w:p>
    <w:sectPr w:rsidR="004304C9" w:rsidRPr="00864C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887AB" w14:textId="77777777" w:rsidR="00B0297A" w:rsidRDefault="00B0297A" w:rsidP="003B397D">
      <w:r>
        <w:separator/>
      </w:r>
    </w:p>
  </w:endnote>
  <w:endnote w:type="continuationSeparator" w:id="0">
    <w:p w14:paraId="69AA798A" w14:textId="77777777" w:rsidR="00B0297A" w:rsidRDefault="00B0297A" w:rsidP="003B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57350" w14:textId="77777777" w:rsidR="00B0297A" w:rsidRDefault="00B0297A" w:rsidP="003B397D">
      <w:r>
        <w:separator/>
      </w:r>
    </w:p>
  </w:footnote>
  <w:footnote w:type="continuationSeparator" w:id="0">
    <w:p w14:paraId="0C1F2E2D" w14:textId="77777777" w:rsidR="00B0297A" w:rsidRDefault="00B0297A" w:rsidP="003B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917A12"/>
    <w:multiLevelType w:val="hybridMultilevel"/>
    <w:tmpl w:val="8B7A702C"/>
    <w:lvl w:ilvl="0" w:tplc="67D23A4C">
      <w:start w:val="1"/>
      <w:numFmt w:val="lowerRoman"/>
      <w:lvlText w:val="%1)"/>
      <w:lvlJc w:val="left"/>
      <w:pPr>
        <w:ind w:left="1080" w:hanging="720"/>
      </w:pPr>
      <w:rPr>
        <w:rFonts w:hint="default"/>
      </w:rPr>
    </w:lvl>
    <w:lvl w:ilvl="1" w:tplc="BB1CB302">
      <w:start w:val="1"/>
      <w:numFmt w:val="bullet"/>
      <w:lvlText w:val=""/>
      <w:lvlJc w:val="left"/>
      <w:pPr>
        <w:ind w:left="1440" w:hanging="360"/>
      </w:pPr>
      <w:rPr>
        <w:rFonts w:ascii="Symbol" w:hAnsi="Symbol" w:hint="default"/>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 w15:restartNumberingAfterBreak="0">
    <w:nsid w:val="45D40C30"/>
    <w:multiLevelType w:val="hybridMultilevel"/>
    <w:tmpl w:val="A074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DF673A"/>
    <w:multiLevelType w:val="hybridMultilevel"/>
    <w:tmpl w:val="3A8EBF2E"/>
    <w:lvl w:ilvl="0" w:tplc="C204A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3"/>
  </w:num>
  <w:num w:numId="5">
    <w:abstractNumId w:val="5"/>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F3"/>
    <w:rsid w:val="0000785A"/>
    <w:rsid w:val="000309CA"/>
    <w:rsid w:val="00034657"/>
    <w:rsid w:val="00052B3E"/>
    <w:rsid w:val="00053DC3"/>
    <w:rsid w:val="000914D0"/>
    <w:rsid w:val="00094356"/>
    <w:rsid w:val="000A2E30"/>
    <w:rsid w:val="000A7F64"/>
    <w:rsid w:val="000F5011"/>
    <w:rsid w:val="000F69A1"/>
    <w:rsid w:val="00101BDC"/>
    <w:rsid w:val="00107AFA"/>
    <w:rsid w:val="001101FB"/>
    <w:rsid w:val="00114E18"/>
    <w:rsid w:val="001213E9"/>
    <w:rsid w:val="0015162F"/>
    <w:rsid w:val="00167C48"/>
    <w:rsid w:val="00176A2F"/>
    <w:rsid w:val="001822CD"/>
    <w:rsid w:val="00186B91"/>
    <w:rsid w:val="0019563F"/>
    <w:rsid w:val="001A59BE"/>
    <w:rsid w:val="001C4197"/>
    <w:rsid w:val="001D2FE1"/>
    <w:rsid w:val="001D4EA0"/>
    <w:rsid w:val="001D6901"/>
    <w:rsid w:val="001F0753"/>
    <w:rsid w:val="001F5298"/>
    <w:rsid w:val="00251805"/>
    <w:rsid w:val="002756AD"/>
    <w:rsid w:val="00276F65"/>
    <w:rsid w:val="002967CF"/>
    <w:rsid w:val="002A4273"/>
    <w:rsid w:val="002B7248"/>
    <w:rsid w:val="002B7AD2"/>
    <w:rsid w:val="002D2162"/>
    <w:rsid w:val="002D620A"/>
    <w:rsid w:val="002D6489"/>
    <w:rsid w:val="002E2157"/>
    <w:rsid w:val="00300008"/>
    <w:rsid w:val="0030337A"/>
    <w:rsid w:val="003058E0"/>
    <w:rsid w:val="003073C9"/>
    <w:rsid w:val="00316C26"/>
    <w:rsid w:val="00317FD9"/>
    <w:rsid w:val="003234E5"/>
    <w:rsid w:val="003269B3"/>
    <w:rsid w:val="003408BE"/>
    <w:rsid w:val="00351DB6"/>
    <w:rsid w:val="00361DA3"/>
    <w:rsid w:val="003648B6"/>
    <w:rsid w:val="00380B13"/>
    <w:rsid w:val="0039109F"/>
    <w:rsid w:val="003A1A77"/>
    <w:rsid w:val="003A2387"/>
    <w:rsid w:val="003A5B15"/>
    <w:rsid w:val="003A7482"/>
    <w:rsid w:val="003B397D"/>
    <w:rsid w:val="003C7E48"/>
    <w:rsid w:val="003D1239"/>
    <w:rsid w:val="003D6652"/>
    <w:rsid w:val="003D6B67"/>
    <w:rsid w:val="003E457A"/>
    <w:rsid w:val="003F39F5"/>
    <w:rsid w:val="003F520A"/>
    <w:rsid w:val="004079A0"/>
    <w:rsid w:val="004129AC"/>
    <w:rsid w:val="00413025"/>
    <w:rsid w:val="00414FB2"/>
    <w:rsid w:val="00416258"/>
    <w:rsid w:val="004304C9"/>
    <w:rsid w:val="0043464A"/>
    <w:rsid w:val="00436664"/>
    <w:rsid w:val="00460C46"/>
    <w:rsid w:val="004670CF"/>
    <w:rsid w:val="00475887"/>
    <w:rsid w:val="0047620B"/>
    <w:rsid w:val="004964BE"/>
    <w:rsid w:val="00496EFA"/>
    <w:rsid w:val="004A7B37"/>
    <w:rsid w:val="004B52C7"/>
    <w:rsid w:val="004D198D"/>
    <w:rsid w:val="004D1C7E"/>
    <w:rsid w:val="004D6DF4"/>
    <w:rsid w:val="004D7332"/>
    <w:rsid w:val="004E01DD"/>
    <w:rsid w:val="004E1CFB"/>
    <w:rsid w:val="004F452C"/>
    <w:rsid w:val="004F7F79"/>
    <w:rsid w:val="0052729C"/>
    <w:rsid w:val="00531EAC"/>
    <w:rsid w:val="00532C9A"/>
    <w:rsid w:val="005430F4"/>
    <w:rsid w:val="00543B48"/>
    <w:rsid w:val="00543D0F"/>
    <w:rsid w:val="00543ED9"/>
    <w:rsid w:val="0054634D"/>
    <w:rsid w:val="0055087C"/>
    <w:rsid w:val="00560737"/>
    <w:rsid w:val="005706FA"/>
    <w:rsid w:val="005864CB"/>
    <w:rsid w:val="005C73C1"/>
    <w:rsid w:val="005E5940"/>
    <w:rsid w:val="005F0A2B"/>
    <w:rsid w:val="005F6FF9"/>
    <w:rsid w:val="00603B9F"/>
    <w:rsid w:val="00621146"/>
    <w:rsid w:val="00624599"/>
    <w:rsid w:val="00627F4E"/>
    <w:rsid w:val="00651C97"/>
    <w:rsid w:val="006532BF"/>
    <w:rsid w:val="006B021E"/>
    <w:rsid w:val="006B0A40"/>
    <w:rsid w:val="006B40E8"/>
    <w:rsid w:val="006C3764"/>
    <w:rsid w:val="006C5D46"/>
    <w:rsid w:val="00704FB0"/>
    <w:rsid w:val="007405E9"/>
    <w:rsid w:val="00746172"/>
    <w:rsid w:val="00750CA1"/>
    <w:rsid w:val="00773D85"/>
    <w:rsid w:val="007A118C"/>
    <w:rsid w:val="007A24B4"/>
    <w:rsid w:val="007B042E"/>
    <w:rsid w:val="007C1659"/>
    <w:rsid w:val="007D304F"/>
    <w:rsid w:val="007E696B"/>
    <w:rsid w:val="007F5663"/>
    <w:rsid w:val="007F61DE"/>
    <w:rsid w:val="00800784"/>
    <w:rsid w:val="00825845"/>
    <w:rsid w:val="00825E79"/>
    <w:rsid w:val="00826BEA"/>
    <w:rsid w:val="00827B69"/>
    <w:rsid w:val="0083549A"/>
    <w:rsid w:val="008413E3"/>
    <w:rsid w:val="00856809"/>
    <w:rsid w:val="00857B44"/>
    <w:rsid w:val="00864C68"/>
    <w:rsid w:val="00876775"/>
    <w:rsid w:val="0088619E"/>
    <w:rsid w:val="0089034F"/>
    <w:rsid w:val="0089687E"/>
    <w:rsid w:val="008A0E25"/>
    <w:rsid w:val="008F4FE3"/>
    <w:rsid w:val="009051A1"/>
    <w:rsid w:val="00910B4B"/>
    <w:rsid w:val="009131C5"/>
    <w:rsid w:val="00916907"/>
    <w:rsid w:val="0093121D"/>
    <w:rsid w:val="009377F0"/>
    <w:rsid w:val="0094404D"/>
    <w:rsid w:val="00964B07"/>
    <w:rsid w:val="00966818"/>
    <w:rsid w:val="00971951"/>
    <w:rsid w:val="00993F56"/>
    <w:rsid w:val="009A590D"/>
    <w:rsid w:val="009B291D"/>
    <w:rsid w:val="009D5DA9"/>
    <w:rsid w:val="009E3862"/>
    <w:rsid w:val="009F067A"/>
    <w:rsid w:val="009F2117"/>
    <w:rsid w:val="009F5CEF"/>
    <w:rsid w:val="009F7BD7"/>
    <w:rsid w:val="00A02B4A"/>
    <w:rsid w:val="00A02B95"/>
    <w:rsid w:val="00A35B50"/>
    <w:rsid w:val="00A35DE1"/>
    <w:rsid w:val="00A52003"/>
    <w:rsid w:val="00A607F3"/>
    <w:rsid w:val="00A62ABF"/>
    <w:rsid w:val="00A6613D"/>
    <w:rsid w:val="00A83149"/>
    <w:rsid w:val="00A83CE0"/>
    <w:rsid w:val="00A84720"/>
    <w:rsid w:val="00A90671"/>
    <w:rsid w:val="00A964A5"/>
    <w:rsid w:val="00A97F08"/>
    <w:rsid w:val="00AA479E"/>
    <w:rsid w:val="00AD043C"/>
    <w:rsid w:val="00AD1AEC"/>
    <w:rsid w:val="00AD61B6"/>
    <w:rsid w:val="00B0297A"/>
    <w:rsid w:val="00B12433"/>
    <w:rsid w:val="00B20241"/>
    <w:rsid w:val="00B23C99"/>
    <w:rsid w:val="00B264A7"/>
    <w:rsid w:val="00B32825"/>
    <w:rsid w:val="00B34EAC"/>
    <w:rsid w:val="00B379D0"/>
    <w:rsid w:val="00B4641D"/>
    <w:rsid w:val="00B538A7"/>
    <w:rsid w:val="00B6368C"/>
    <w:rsid w:val="00B6450E"/>
    <w:rsid w:val="00B7440D"/>
    <w:rsid w:val="00B74B0A"/>
    <w:rsid w:val="00B87D33"/>
    <w:rsid w:val="00B93E07"/>
    <w:rsid w:val="00B9468E"/>
    <w:rsid w:val="00B97FAC"/>
    <w:rsid w:val="00BA6045"/>
    <w:rsid w:val="00C019B8"/>
    <w:rsid w:val="00C17D0A"/>
    <w:rsid w:val="00C211A5"/>
    <w:rsid w:val="00C30B40"/>
    <w:rsid w:val="00C36A99"/>
    <w:rsid w:val="00C51623"/>
    <w:rsid w:val="00C5345B"/>
    <w:rsid w:val="00C579CA"/>
    <w:rsid w:val="00C630D8"/>
    <w:rsid w:val="00C82573"/>
    <w:rsid w:val="00C82803"/>
    <w:rsid w:val="00C97443"/>
    <w:rsid w:val="00CA17AA"/>
    <w:rsid w:val="00CC6012"/>
    <w:rsid w:val="00CD2D8E"/>
    <w:rsid w:val="00CE0A27"/>
    <w:rsid w:val="00CE58A4"/>
    <w:rsid w:val="00CF3C9A"/>
    <w:rsid w:val="00CF552C"/>
    <w:rsid w:val="00D05B05"/>
    <w:rsid w:val="00D1185D"/>
    <w:rsid w:val="00D24E55"/>
    <w:rsid w:val="00D2676A"/>
    <w:rsid w:val="00D507C8"/>
    <w:rsid w:val="00D54CD5"/>
    <w:rsid w:val="00D54D8F"/>
    <w:rsid w:val="00D60BBF"/>
    <w:rsid w:val="00D6147C"/>
    <w:rsid w:val="00D646CE"/>
    <w:rsid w:val="00D67FFB"/>
    <w:rsid w:val="00D7458D"/>
    <w:rsid w:val="00D774F3"/>
    <w:rsid w:val="00D80930"/>
    <w:rsid w:val="00D8182B"/>
    <w:rsid w:val="00D83966"/>
    <w:rsid w:val="00DA37A4"/>
    <w:rsid w:val="00DA7860"/>
    <w:rsid w:val="00DD2CDD"/>
    <w:rsid w:val="00DD5A15"/>
    <w:rsid w:val="00DE1DCD"/>
    <w:rsid w:val="00DE7FBE"/>
    <w:rsid w:val="00DF2667"/>
    <w:rsid w:val="00E00B68"/>
    <w:rsid w:val="00E02CC1"/>
    <w:rsid w:val="00E0318B"/>
    <w:rsid w:val="00E105B4"/>
    <w:rsid w:val="00E11075"/>
    <w:rsid w:val="00E12100"/>
    <w:rsid w:val="00E154E5"/>
    <w:rsid w:val="00E33028"/>
    <w:rsid w:val="00E51CF1"/>
    <w:rsid w:val="00E60932"/>
    <w:rsid w:val="00E76508"/>
    <w:rsid w:val="00E82FF8"/>
    <w:rsid w:val="00E91B27"/>
    <w:rsid w:val="00E92107"/>
    <w:rsid w:val="00EA2C30"/>
    <w:rsid w:val="00EB5525"/>
    <w:rsid w:val="00EB7052"/>
    <w:rsid w:val="00EC0269"/>
    <w:rsid w:val="00EC3F6A"/>
    <w:rsid w:val="00EE00C6"/>
    <w:rsid w:val="00EF7A94"/>
    <w:rsid w:val="00F03839"/>
    <w:rsid w:val="00F10001"/>
    <w:rsid w:val="00F1788D"/>
    <w:rsid w:val="00F2420E"/>
    <w:rsid w:val="00F25330"/>
    <w:rsid w:val="00F35327"/>
    <w:rsid w:val="00F3620F"/>
    <w:rsid w:val="00F4249F"/>
    <w:rsid w:val="00F440DE"/>
    <w:rsid w:val="00F442EA"/>
    <w:rsid w:val="00F44D62"/>
    <w:rsid w:val="00F6330E"/>
    <w:rsid w:val="00F67C5A"/>
    <w:rsid w:val="00F74226"/>
    <w:rsid w:val="00F92A6A"/>
    <w:rsid w:val="00F94FBB"/>
    <w:rsid w:val="00FB31E4"/>
    <w:rsid w:val="00FD5E72"/>
    <w:rsid w:val="00FF6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FF4B"/>
  <w15:docId w15:val="{DD142ADF-59D8-4BC1-9BD4-BC5E313B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customStyle="1" w:styleId="fontstyle01">
    <w:name w:val="fontstyle01"/>
    <w:basedOn w:val="DefaultParagraphFont"/>
    <w:rsid w:val="00857B44"/>
    <w:rPr>
      <w:rFonts w:ascii="Arial" w:hAnsi="Arial" w:cs="Arial" w:hint="default"/>
      <w:b w:val="0"/>
      <w:bCs w:val="0"/>
      <w:i w:val="0"/>
      <w:iCs w:val="0"/>
      <w:color w:val="000000"/>
      <w:sz w:val="22"/>
      <w:szCs w:val="22"/>
    </w:rPr>
  </w:style>
  <w:style w:type="character" w:styleId="UnresolvedMention">
    <w:name w:val="Unresolved Mention"/>
    <w:basedOn w:val="DefaultParagraphFont"/>
    <w:uiPriority w:val="99"/>
    <w:semiHidden/>
    <w:unhideWhenUsed/>
    <w:rsid w:val="00E82FF8"/>
    <w:rPr>
      <w:color w:val="808080"/>
      <w:shd w:val="clear" w:color="auto" w:fill="E6E6E6"/>
    </w:rPr>
  </w:style>
  <w:style w:type="character" w:styleId="CommentReference">
    <w:name w:val="annotation reference"/>
    <w:basedOn w:val="DefaultParagraphFont"/>
    <w:uiPriority w:val="99"/>
    <w:semiHidden/>
    <w:unhideWhenUsed/>
    <w:rsid w:val="0089687E"/>
    <w:rPr>
      <w:sz w:val="16"/>
      <w:szCs w:val="16"/>
    </w:rPr>
  </w:style>
  <w:style w:type="paragraph" w:styleId="CommentText">
    <w:name w:val="annotation text"/>
    <w:basedOn w:val="Normal"/>
    <w:link w:val="CommentTextChar"/>
    <w:uiPriority w:val="99"/>
    <w:semiHidden/>
    <w:unhideWhenUsed/>
    <w:rsid w:val="0089687E"/>
  </w:style>
  <w:style w:type="character" w:customStyle="1" w:styleId="CommentTextChar">
    <w:name w:val="Comment Text Char"/>
    <w:basedOn w:val="DefaultParagraphFont"/>
    <w:link w:val="CommentText"/>
    <w:uiPriority w:val="99"/>
    <w:semiHidden/>
    <w:rsid w:val="0089687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9687E"/>
    <w:rPr>
      <w:b/>
      <w:bCs/>
    </w:rPr>
  </w:style>
  <w:style w:type="character" w:customStyle="1" w:styleId="CommentSubjectChar">
    <w:name w:val="Comment Subject Char"/>
    <w:basedOn w:val="CommentTextChar"/>
    <w:link w:val="CommentSubject"/>
    <w:uiPriority w:val="99"/>
    <w:semiHidden/>
    <w:rsid w:val="0089687E"/>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459178912">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havant.gov.uk/sites/default/files/documents/Pre-Submission%20HBLP2036%20for%20Full%20Council%20-%20FINAL%20POST%20COUNCIL%20%28clean%20for%20use%29%20-%20Copy.pdf"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72FE9-8E38-4FB1-A034-FC1E3D5F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Hayward, David</cp:lastModifiedBy>
  <cp:revision>5</cp:revision>
  <cp:lastPrinted>2018-06-27T11:28:00Z</cp:lastPrinted>
  <dcterms:created xsi:type="dcterms:W3CDTF">2020-04-21T07:28:00Z</dcterms:created>
  <dcterms:modified xsi:type="dcterms:W3CDTF">2020-04-27T08:57:00Z</dcterms:modified>
</cp:coreProperties>
</file>