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370" w:rsidRDefault="00441370" w:rsidP="00C265E2">
      <w:pPr>
        <w:rPr>
          <w:b/>
        </w:rPr>
      </w:pPr>
      <w:r>
        <w:rPr>
          <w:b/>
        </w:rPr>
        <w:t xml:space="preserve">Heritage Team Consultation Response </w:t>
      </w:r>
    </w:p>
    <w:p w:rsidR="00743020" w:rsidRPr="000F74BD" w:rsidRDefault="00743020" w:rsidP="00C265E2">
      <w:pPr>
        <w:rPr>
          <w:b/>
        </w:rPr>
      </w:pPr>
      <w:r w:rsidRPr="000F74BD">
        <w:rPr>
          <w:b/>
        </w:rPr>
        <w:t>Application – APP/</w:t>
      </w:r>
      <w:r w:rsidR="00CB3293">
        <w:rPr>
          <w:b/>
        </w:rPr>
        <w:t>20/00363</w:t>
      </w:r>
    </w:p>
    <w:p w:rsidR="00743020" w:rsidRPr="000F74BD" w:rsidRDefault="00743020" w:rsidP="00441370">
      <w:pPr>
        <w:jc w:val="both"/>
        <w:rPr>
          <w:b/>
        </w:rPr>
      </w:pPr>
      <w:r w:rsidRPr="000F74BD">
        <w:rPr>
          <w:b/>
        </w:rPr>
        <w:t xml:space="preserve">Site: </w:t>
      </w:r>
      <w:r w:rsidR="00CB3293">
        <w:rPr>
          <w:b/>
        </w:rPr>
        <w:t xml:space="preserve">The Coal Yard, 178A West Street, Havant </w:t>
      </w:r>
    </w:p>
    <w:p w:rsidR="00CB3293" w:rsidRDefault="0080117E" w:rsidP="00441370">
      <w:pPr>
        <w:jc w:val="both"/>
      </w:pPr>
      <w:r>
        <w:t xml:space="preserve">The site is located </w:t>
      </w:r>
      <w:r w:rsidR="00CB3293">
        <w:t>on West Street in Havant, adjacent to the eastern boundary with the Brockhampton</w:t>
      </w:r>
      <w:r w:rsidR="00441370">
        <w:t xml:space="preserve"> Conservation </w:t>
      </w:r>
      <w:r w:rsidR="00CB3293">
        <w:t>A</w:t>
      </w:r>
      <w:r w:rsidR="00441370">
        <w:t>rea</w:t>
      </w:r>
      <w:r w:rsidR="00CB3293">
        <w:t xml:space="preserve"> (CA). It comprises a plot of land which is accessed from West Street and is currently heavily vegetated. </w:t>
      </w:r>
      <w:r w:rsidR="00441370">
        <w:t xml:space="preserve">Brockhampton is a distinctive historic neighbourhood </w:t>
      </w:r>
      <w:proofErr w:type="gramStart"/>
      <w:r w:rsidR="00441370">
        <w:t>in its own right, close</w:t>
      </w:r>
      <w:proofErr w:type="gramEnd"/>
      <w:r w:rsidR="00441370">
        <w:t xml:space="preserve"> to Havant Town Centre, which has grown up around the natural springs in the locality and its association with the fresh water based industries. It was designated as conservation area in 2005. </w:t>
      </w:r>
    </w:p>
    <w:p w:rsidR="00441370" w:rsidRDefault="00CB3293" w:rsidP="00441370">
      <w:pPr>
        <w:jc w:val="both"/>
      </w:pPr>
      <w:r>
        <w:t xml:space="preserve">The site shares a boundary with </w:t>
      </w:r>
      <w:r w:rsidR="00501AB9">
        <w:t xml:space="preserve">an allotment site which is included within the CA. The allotments are to the rear of </w:t>
      </w:r>
      <w:r>
        <w:t>properties facing into Staunton Road</w:t>
      </w:r>
      <w:r w:rsidR="00B83F95">
        <w:t xml:space="preserve">. These properties comprise a row of </w:t>
      </w:r>
      <w:r w:rsidR="00501AB9">
        <w:t xml:space="preserve">Victorian terraced housing, leading up to Cross Way, although there is a shorter terraced section, adjacent to the Prince of Wales Public House, which are more modern. The Prince of Wales PH </w:t>
      </w:r>
      <w:r w:rsidR="00816748">
        <w:t xml:space="preserve">is </w:t>
      </w:r>
      <w:r w:rsidR="005B39ED">
        <w:t xml:space="preserve">a locally listed building within the Borough and is specifically highlighted in the Conservation Area Appraisal document: </w:t>
      </w:r>
    </w:p>
    <w:p w:rsidR="005B39ED" w:rsidRPr="005B39ED" w:rsidRDefault="005B39ED" w:rsidP="00441370">
      <w:pPr>
        <w:jc w:val="both"/>
        <w:rPr>
          <w:i/>
        </w:rPr>
      </w:pPr>
      <w:r w:rsidRPr="005B39ED">
        <w:rPr>
          <w:i/>
        </w:rPr>
        <w:t>‘</w:t>
      </w:r>
      <w:r w:rsidRPr="005B39ED">
        <w:rPr>
          <w:i/>
          <w:color w:val="000000"/>
        </w:rPr>
        <w:t xml:space="preserve">The Prince of Wales public house is a notable local building </w:t>
      </w:r>
      <w:r w:rsidRPr="005B39ED">
        <w:rPr>
          <w:b/>
          <w:bCs/>
          <w:i/>
          <w:color w:val="000000"/>
        </w:rPr>
        <w:t xml:space="preserve">(Q) </w:t>
      </w:r>
      <w:r w:rsidRPr="005B39ED">
        <w:rPr>
          <w:i/>
          <w:color w:val="000000"/>
        </w:rPr>
        <w:t>prominent on the corner with Staunto</w:t>
      </w:r>
      <w:r>
        <w:rPr>
          <w:i/>
          <w:color w:val="000000"/>
        </w:rPr>
        <w:t xml:space="preserve">n </w:t>
      </w:r>
      <w:r w:rsidRPr="005B39ED">
        <w:rPr>
          <w:i/>
          <w:color w:val="000000"/>
        </w:rPr>
        <w:t>Road. Dating from the late 19</w:t>
      </w:r>
      <w:proofErr w:type="spellStart"/>
      <w:r w:rsidRPr="005B39ED">
        <w:rPr>
          <w:i/>
          <w:color w:val="000000"/>
          <w:position w:val="10"/>
          <w:vertAlign w:val="superscript"/>
        </w:rPr>
        <w:t>th</w:t>
      </w:r>
      <w:proofErr w:type="spellEnd"/>
      <w:r w:rsidRPr="005B39ED">
        <w:rPr>
          <w:i/>
          <w:color w:val="000000"/>
          <w:position w:val="10"/>
          <w:vertAlign w:val="superscript"/>
        </w:rPr>
        <w:t xml:space="preserve"> </w:t>
      </w:r>
      <w:r w:rsidRPr="005B39ED">
        <w:rPr>
          <w:i/>
          <w:color w:val="000000"/>
        </w:rPr>
        <w:t>century, it still retains much of its original character externally with its pyramidal slate roof and green glazed tiles on its ground storey walls. The traditional sign on the side road reads……...... ‘Portsmouth and Brighton United Indian Pale Ale’</w:t>
      </w:r>
      <w:r w:rsidRPr="005B39ED">
        <w:rPr>
          <w:i/>
          <w:color w:val="000000"/>
          <w:sz w:val="23"/>
          <w:szCs w:val="23"/>
        </w:rPr>
        <w:t>.</w:t>
      </w:r>
    </w:p>
    <w:p w:rsidR="005543AE" w:rsidRDefault="005543AE" w:rsidP="00C265E2">
      <w:pPr>
        <w:rPr>
          <w:b/>
          <w:u w:val="single"/>
        </w:rPr>
      </w:pPr>
      <w:r w:rsidRPr="005543AE">
        <w:rPr>
          <w:b/>
          <w:u w:val="single"/>
        </w:rPr>
        <w:t>Proposal</w:t>
      </w:r>
    </w:p>
    <w:p w:rsidR="00631221" w:rsidRPr="00631221" w:rsidRDefault="005543AE" w:rsidP="00631221">
      <w:pPr>
        <w:pStyle w:val="Normal0"/>
        <w:jc w:val="both"/>
        <w:rPr>
          <w:rFonts w:asciiTheme="minorHAnsi" w:hAnsiTheme="minorHAnsi"/>
          <w:sz w:val="22"/>
          <w:szCs w:val="22"/>
        </w:rPr>
      </w:pPr>
      <w:r w:rsidRPr="00631221">
        <w:rPr>
          <w:rFonts w:asciiTheme="minorHAnsi" w:hAnsiTheme="minorHAnsi"/>
          <w:sz w:val="22"/>
          <w:szCs w:val="22"/>
        </w:rPr>
        <w:t xml:space="preserve">The proposal </w:t>
      </w:r>
      <w:r w:rsidR="005B39ED" w:rsidRPr="00631221">
        <w:rPr>
          <w:rFonts w:asciiTheme="minorHAnsi" w:hAnsiTheme="minorHAnsi"/>
          <w:sz w:val="22"/>
          <w:szCs w:val="22"/>
        </w:rPr>
        <w:t xml:space="preserve">is </w:t>
      </w:r>
      <w:proofErr w:type="gramStart"/>
      <w:r w:rsidR="00501AB9" w:rsidRPr="00631221">
        <w:rPr>
          <w:rFonts w:asciiTheme="minorHAnsi" w:hAnsiTheme="minorHAnsi"/>
          <w:sz w:val="22"/>
          <w:szCs w:val="22"/>
        </w:rPr>
        <w:t>demolish</w:t>
      </w:r>
      <w:proofErr w:type="gramEnd"/>
      <w:r w:rsidR="00501AB9" w:rsidRPr="00631221">
        <w:rPr>
          <w:rFonts w:asciiTheme="minorHAnsi" w:hAnsiTheme="minorHAnsi"/>
          <w:sz w:val="22"/>
          <w:szCs w:val="22"/>
        </w:rPr>
        <w:t xml:space="preserve"> an existing building and construct </w:t>
      </w:r>
      <w:r w:rsidR="00631221" w:rsidRPr="00631221">
        <w:rPr>
          <w:rFonts w:asciiTheme="minorHAnsi" w:hAnsiTheme="minorHAnsi"/>
          <w:sz w:val="22"/>
          <w:szCs w:val="22"/>
        </w:rPr>
        <w:t>a 3 storey building housing 20No. 1 bedroom</w:t>
      </w:r>
      <w:r w:rsidR="00631221">
        <w:rPr>
          <w:rFonts w:asciiTheme="minorHAnsi" w:hAnsiTheme="minorHAnsi"/>
          <w:sz w:val="22"/>
          <w:szCs w:val="22"/>
        </w:rPr>
        <w:t>,</w:t>
      </w:r>
      <w:r w:rsidR="00631221" w:rsidRPr="00631221">
        <w:rPr>
          <w:rFonts w:asciiTheme="minorHAnsi" w:hAnsiTheme="minorHAnsi"/>
          <w:sz w:val="22"/>
          <w:szCs w:val="22"/>
        </w:rPr>
        <w:t xml:space="preserve"> 1 person apartments with integrated refuse and cycle storage for Havant Housing Association.</w:t>
      </w:r>
    </w:p>
    <w:p w:rsidR="00631221" w:rsidRDefault="00631221" w:rsidP="005B39ED">
      <w:pPr>
        <w:pStyle w:val="Normal0"/>
        <w:rPr>
          <w:rFonts w:asciiTheme="minorHAnsi" w:hAnsiTheme="minorHAnsi"/>
          <w:sz w:val="22"/>
          <w:szCs w:val="22"/>
        </w:rPr>
      </w:pPr>
    </w:p>
    <w:p w:rsidR="00501AB9" w:rsidRDefault="00631221" w:rsidP="005B39ED">
      <w:pPr>
        <w:pStyle w:val="Normal0"/>
        <w:rPr>
          <w:rFonts w:asciiTheme="minorHAnsi" w:hAnsiTheme="minorHAnsi"/>
          <w:sz w:val="22"/>
          <w:szCs w:val="22"/>
        </w:rPr>
      </w:pPr>
      <w:r>
        <w:rPr>
          <w:rFonts w:asciiTheme="minorHAnsi" w:hAnsiTheme="minorHAnsi"/>
          <w:sz w:val="22"/>
          <w:szCs w:val="22"/>
        </w:rPr>
        <w:t xml:space="preserve">The design approach for the building is </w:t>
      </w:r>
      <w:proofErr w:type="gramStart"/>
      <w:r>
        <w:rPr>
          <w:rFonts w:asciiTheme="minorHAnsi" w:hAnsiTheme="minorHAnsi"/>
          <w:sz w:val="22"/>
          <w:szCs w:val="22"/>
        </w:rPr>
        <w:t>fairly traditional</w:t>
      </w:r>
      <w:proofErr w:type="gramEnd"/>
      <w:r>
        <w:rPr>
          <w:rFonts w:asciiTheme="minorHAnsi" w:hAnsiTheme="minorHAnsi"/>
          <w:sz w:val="22"/>
          <w:szCs w:val="22"/>
        </w:rPr>
        <w:t xml:space="preserve"> using mainly pitched roofs with projecting gable sections. It does have a contemporary twist with the use of dark grey tones in the windows, doors, bricks and tiles. Hardstanding to provide parking would be located to the front of the building with amenity space to the rear. </w:t>
      </w:r>
    </w:p>
    <w:p w:rsidR="005543AE" w:rsidRPr="005543AE" w:rsidRDefault="005543AE" w:rsidP="00C265E2"/>
    <w:p w:rsidR="005543AE" w:rsidRPr="00A8361C" w:rsidRDefault="005543AE" w:rsidP="005543AE">
      <w:pPr>
        <w:jc w:val="both"/>
        <w:rPr>
          <w:rFonts w:cs="Arial"/>
          <w:b/>
          <w:u w:val="single"/>
        </w:rPr>
      </w:pPr>
      <w:r w:rsidRPr="00A8361C">
        <w:rPr>
          <w:rFonts w:cs="Arial"/>
          <w:b/>
          <w:u w:val="single"/>
        </w:rPr>
        <w:t xml:space="preserve">Legislative and Policy Context </w:t>
      </w:r>
    </w:p>
    <w:p w:rsidR="005543AE" w:rsidRPr="00A8361C" w:rsidRDefault="005543AE" w:rsidP="005543AE">
      <w:pPr>
        <w:jc w:val="both"/>
        <w:rPr>
          <w:rFonts w:cs="Arial"/>
        </w:rPr>
      </w:pPr>
      <w:r w:rsidRPr="00A8361C">
        <w:rPr>
          <w:rFonts w:cs="Arial"/>
        </w:rPr>
        <w:t xml:space="preserve">When assessing the proposal, the following legislation and policy context is taken in consideration. </w:t>
      </w:r>
    </w:p>
    <w:p w:rsidR="005543AE" w:rsidRPr="00A8361C" w:rsidRDefault="005543AE" w:rsidP="005543AE">
      <w:pPr>
        <w:jc w:val="both"/>
        <w:rPr>
          <w:rFonts w:cs="Arial"/>
        </w:rPr>
      </w:pPr>
      <w:r w:rsidRPr="00A8361C">
        <w:rPr>
          <w:rFonts w:cs="Arial"/>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5543AE" w:rsidRPr="00A8361C" w:rsidRDefault="005543AE" w:rsidP="005543AE">
      <w:pPr>
        <w:autoSpaceDE w:val="0"/>
        <w:autoSpaceDN w:val="0"/>
        <w:adjustRightInd w:val="0"/>
        <w:spacing w:after="0" w:line="240" w:lineRule="auto"/>
        <w:jc w:val="both"/>
        <w:rPr>
          <w:rFonts w:cs="Arial"/>
        </w:rPr>
      </w:pPr>
      <w:r w:rsidRPr="00A8361C">
        <w:rPr>
          <w:rFonts w:cs="Arial"/>
        </w:rPr>
        <w:t xml:space="preserve">The revised National Planning Policy Framework (NPPF) was published in February 2019 and sets down the policies that the Council must </w:t>
      </w:r>
      <w:proofErr w:type="gramStart"/>
      <w:r w:rsidRPr="00A8361C">
        <w:rPr>
          <w:rFonts w:cs="Arial"/>
        </w:rPr>
        <w:t>take into account</w:t>
      </w:r>
      <w:proofErr w:type="gramEnd"/>
      <w:r w:rsidRPr="00A8361C">
        <w:rPr>
          <w:rFonts w:cs="Arial"/>
        </w:rPr>
        <w:t xml:space="preserve"> when determining planning applications. The ‘Historic Environment Good Practice Advice in Planning Note 2’, states at paragraph 4:  </w:t>
      </w:r>
    </w:p>
    <w:p w:rsidR="005543AE" w:rsidRPr="00A8361C" w:rsidRDefault="005543AE" w:rsidP="005543AE">
      <w:pPr>
        <w:autoSpaceDE w:val="0"/>
        <w:autoSpaceDN w:val="0"/>
        <w:adjustRightInd w:val="0"/>
        <w:spacing w:after="0" w:line="240" w:lineRule="auto"/>
        <w:jc w:val="both"/>
        <w:rPr>
          <w:rFonts w:cs="Arial"/>
        </w:rPr>
      </w:pPr>
    </w:p>
    <w:p w:rsidR="005543AE" w:rsidRPr="00A8361C" w:rsidRDefault="005543AE" w:rsidP="005543AE">
      <w:pPr>
        <w:jc w:val="both"/>
        <w:rPr>
          <w:rFonts w:cs="Arial"/>
        </w:rPr>
      </w:pPr>
      <w:r w:rsidRPr="00A8361C">
        <w:rPr>
          <w:rFonts w:cs="Arial"/>
        </w:rPr>
        <w:t xml:space="preserve">‘The significance of a heritage asset is the sum of its archaeological, architectural, historic, and artistic interest’ and provides at paragraphs 8, 9 and 10 that </w:t>
      </w:r>
      <w:proofErr w:type="gramStart"/>
      <w:r w:rsidRPr="00A8361C">
        <w:rPr>
          <w:rFonts w:cs="Arial"/>
        </w:rPr>
        <w:t>in order for</w:t>
      </w:r>
      <w:proofErr w:type="gramEnd"/>
      <w:r w:rsidRPr="00A8361C">
        <w:rPr>
          <w:rFonts w:cs="Arial"/>
        </w:rPr>
        <w:t xml:space="preserve"> the Local Planning Authority to make decisions in line with legal requirements, the objectives of the development plan; and, the policy </w:t>
      </w:r>
      <w:r w:rsidRPr="00A8361C">
        <w:rPr>
          <w:rFonts w:cs="Arial"/>
        </w:rPr>
        <w:lastRenderedPageBreak/>
        <w:t>requirements of the NPPF, great importance is placed on understanding the nature, extent and level of the significance of the heritage asset.</w:t>
      </w:r>
    </w:p>
    <w:p w:rsidR="005543AE" w:rsidRPr="00A8361C" w:rsidRDefault="005543AE" w:rsidP="005543AE">
      <w:pPr>
        <w:jc w:val="both"/>
        <w:rPr>
          <w:rFonts w:cs="Arial"/>
        </w:rPr>
      </w:pPr>
      <w:r w:rsidRPr="00A8361C">
        <w:rPr>
          <w:rFonts w:cs="Arial"/>
        </w:rPr>
        <w:t>The revised NPPF (February 2019) sets out in Chapter 16, the core principles relating to development affecting Heritage Assets that local planning authorities should consider in making planning decisions in the following paragraphs:</w:t>
      </w:r>
    </w:p>
    <w:p w:rsidR="005543AE" w:rsidRPr="00A8361C" w:rsidRDefault="005543AE" w:rsidP="005543AE">
      <w:pPr>
        <w:jc w:val="both"/>
        <w:rPr>
          <w:rFonts w:cs="Arial"/>
        </w:rPr>
      </w:pPr>
      <w:r w:rsidRPr="00A8361C">
        <w:rPr>
          <w:rFonts w:cs="Arial"/>
        </w:rPr>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rsidR="005543AE" w:rsidRPr="00A8361C" w:rsidRDefault="005543AE" w:rsidP="005543AE">
      <w:pPr>
        <w:jc w:val="both"/>
        <w:rPr>
          <w:rFonts w:cs="Arial"/>
        </w:rPr>
      </w:pPr>
      <w:r w:rsidRPr="00A8361C">
        <w:rPr>
          <w:rFonts w:cs="Arial"/>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rsidR="005543AE" w:rsidRPr="00A8361C" w:rsidRDefault="005543AE" w:rsidP="005543AE">
      <w:pPr>
        <w:jc w:val="both"/>
        <w:rPr>
          <w:rFonts w:cs="Arial"/>
        </w:rPr>
      </w:pPr>
      <w:r w:rsidRPr="00A8361C">
        <w:rPr>
          <w:rFonts w:cs="Arial"/>
        </w:rPr>
        <w:t xml:space="preserve">190. Local planning authorities should identify and assess the </w:t>
      </w:r>
      <w:proofErr w:type="gramStart"/>
      <w:r w:rsidRPr="00A8361C">
        <w:rPr>
          <w:rFonts w:cs="Arial"/>
        </w:rPr>
        <w:t>particular significance</w:t>
      </w:r>
      <w:proofErr w:type="gramEnd"/>
      <w:r w:rsidRPr="00A8361C">
        <w:rPr>
          <w:rFonts w:cs="Arial"/>
        </w:rPr>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rsidR="005543AE" w:rsidRPr="00A8361C" w:rsidRDefault="005543AE" w:rsidP="005543AE">
      <w:pPr>
        <w:jc w:val="both"/>
        <w:rPr>
          <w:rFonts w:cs="Arial"/>
        </w:rPr>
      </w:pPr>
      <w:r w:rsidRPr="00A8361C">
        <w:rPr>
          <w:rFonts w:cs="Arial"/>
        </w:rPr>
        <w:t xml:space="preserve">191. Where there is evidence of deliberate neglect of, or damage to, a heritage asset, the deteriorated state of the heritage asset should not be </w:t>
      </w:r>
      <w:proofErr w:type="gramStart"/>
      <w:r w:rsidRPr="00A8361C">
        <w:rPr>
          <w:rFonts w:cs="Arial"/>
        </w:rPr>
        <w:t>taken into account</w:t>
      </w:r>
      <w:proofErr w:type="gramEnd"/>
      <w:r w:rsidRPr="00A8361C">
        <w:rPr>
          <w:rFonts w:cs="Arial"/>
        </w:rPr>
        <w:t xml:space="preserve"> in any decision. </w:t>
      </w:r>
    </w:p>
    <w:p w:rsidR="005543AE" w:rsidRPr="00A8361C" w:rsidRDefault="005543AE" w:rsidP="005543AE">
      <w:pPr>
        <w:jc w:val="both"/>
        <w:rPr>
          <w:rFonts w:cs="Arial"/>
        </w:rPr>
      </w:pPr>
      <w:r w:rsidRPr="00A8361C">
        <w:rPr>
          <w:rFonts w:cs="Arial"/>
        </w:rPr>
        <w:t xml:space="preserve">192. In determining applications, local planning authorities should take account of: </w:t>
      </w:r>
    </w:p>
    <w:p w:rsidR="005543AE" w:rsidRPr="00A8361C" w:rsidRDefault="005543AE" w:rsidP="005543AE">
      <w:pPr>
        <w:jc w:val="both"/>
        <w:rPr>
          <w:rFonts w:cs="Arial"/>
        </w:rPr>
      </w:pPr>
      <w:r w:rsidRPr="00A8361C">
        <w:rPr>
          <w:rFonts w:cs="Arial"/>
        </w:rPr>
        <w:t xml:space="preserve">a) the desirability of sustaining and enhancing the significance of heritage assets and putting them to viable uses consistent with their conservation; </w:t>
      </w:r>
    </w:p>
    <w:p w:rsidR="005543AE" w:rsidRPr="00A8361C" w:rsidRDefault="005543AE" w:rsidP="005543AE">
      <w:pPr>
        <w:jc w:val="both"/>
        <w:rPr>
          <w:rFonts w:cs="Arial"/>
        </w:rPr>
      </w:pPr>
      <w:r w:rsidRPr="00A8361C">
        <w:rPr>
          <w:rFonts w:cs="Arial"/>
        </w:rPr>
        <w:t xml:space="preserve">b) the positive contribution that conservation of heritage assets can make to sustainable communities including their economic vitality; and </w:t>
      </w:r>
    </w:p>
    <w:p w:rsidR="005543AE" w:rsidRPr="00A8361C" w:rsidRDefault="005543AE" w:rsidP="005543AE">
      <w:pPr>
        <w:jc w:val="both"/>
        <w:rPr>
          <w:rFonts w:cs="Arial"/>
        </w:rPr>
      </w:pPr>
      <w:r w:rsidRPr="00A8361C">
        <w:rPr>
          <w:rFonts w:cs="Arial"/>
        </w:rPr>
        <w:t>c) the desirability of new development making a positive contribution to local character and distinctiveness.</w:t>
      </w:r>
    </w:p>
    <w:p w:rsidR="005543AE" w:rsidRPr="00A8361C" w:rsidRDefault="005543AE" w:rsidP="005543AE">
      <w:pPr>
        <w:spacing w:after="0" w:line="240" w:lineRule="auto"/>
        <w:rPr>
          <w:rFonts w:eastAsia="Times New Roman" w:cs="Arial"/>
          <w:bCs/>
        </w:rPr>
      </w:pPr>
      <w:r w:rsidRPr="00A8361C">
        <w:rPr>
          <w:rFonts w:eastAsia="Times New Roman" w:cs="Arial"/>
        </w:rPr>
        <w:t xml:space="preserve">Policy CS11 of the Core Strategy 2011 states that </w:t>
      </w:r>
      <w:r w:rsidRPr="00A8361C">
        <w:rPr>
          <w:rFonts w:eastAsia="Times New Roman" w:cs="Arial"/>
          <w:bCs/>
        </w:rPr>
        <w:t>planning permission will be granted for development that:</w:t>
      </w:r>
    </w:p>
    <w:p w:rsidR="005543AE" w:rsidRPr="00A8361C" w:rsidRDefault="005543AE" w:rsidP="005543AE">
      <w:pPr>
        <w:spacing w:after="0" w:line="240" w:lineRule="auto"/>
        <w:rPr>
          <w:rFonts w:eastAsia="Times New Roman" w:cs="Arial"/>
          <w:bCs/>
        </w:rPr>
      </w:pPr>
    </w:p>
    <w:p w:rsidR="005543AE" w:rsidRPr="00A8361C" w:rsidRDefault="005543AE" w:rsidP="005543AE">
      <w:pPr>
        <w:spacing w:after="0" w:line="240" w:lineRule="auto"/>
        <w:rPr>
          <w:rFonts w:eastAsia="Times New Roman" w:cs="Arial"/>
        </w:rPr>
      </w:pPr>
      <w:r w:rsidRPr="00A8361C">
        <w:rPr>
          <w:rFonts w:eastAsia="Times New Roman" w:cs="Arial"/>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rsidR="005543AE" w:rsidRPr="00A8361C" w:rsidRDefault="005543AE" w:rsidP="005543AE">
      <w:pPr>
        <w:spacing w:after="0" w:line="240" w:lineRule="auto"/>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lastRenderedPageBreak/>
        <w:t>Policy CP16 (1a) of the Core Strategy 2011 states ‘Planning permission will be granted for development that is designed to a high standard, which helps to create places where people want to live, work and relax. All development should demonstrate that its design:</w:t>
      </w:r>
    </w:p>
    <w:p w:rsidR="005543AE" w:rsidRPr="00A8361C" w:rsidRDefault="005543AE" w:rsidP="005543AE">
      <w:pPr>
        <w:spacing w:after="0" w:line="240" w:lineRule="auto"/>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Identifies and responds positively to existing features of natural, historic or local character within or close to the proposed development site.</w:t>
      </w:r>
    </w:p>
    <w:p w:rsidR="005543AE" w:rsidRPr="00A8361C" w:rsidRDefault="005543AE" w:rsidP="005543AE">
      <w:pPr>
        <w:spacing w:after="0" w:line="240" w:lineRule="auto"/>
        <w:ind w:left="360"/>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 xml:space="preserve">Policy DM20 of the Allocations Plan 2014 states that development proposals must conserve and enhance the historic assets of Havant’. </w:t>
      </w:r>
    </w:p>
    <w:p w:rsidR="005543AE" w:rsidRPr="00A8361C" w:rsidRDefault="005543AE" w:rsidP="005543AE">
      <w:pPr>
        <w:spacing w:after="0" w:line="240" w:lineRule="auto"/>
        <w:rPr>
          <w:rFonts w:eastAsia="Times New Roman" w:cs="Arial"/>
        </w:rPr>
      </w:pPr>
    </w:p>
    <w:p w:rsidR="00756533" w:rsidRDefault="00782D3C" w:rsidP="00C265E2">
      <w:pPr>
        <w:rPr>
          <w:b/>
          <w:u w:val="single"/>
        </w:rPr>
      </w:pPr>
      <w:r w:rsidRPr="005543AE">
        <w:rPr>
          <w:b/>
          <w:u w:val="single"/>
        </w:rPr>
        <w:t xml:space="preserve"> </w:t>
      </w:r>
      <w:r w:rsidR="005543AE" w:rsidRPr="005543AE">
        <w:rPr>
          <w:b/>
          <w:u w:val="single"/>
        </w:rPr>
        <w:t>Assessment</w:t>
      </w:r>
    </w:p>
    <w:p w:rsidR="00756533" w:rsidRDefault="00756533" w:rsidP="00200F93">
      <w:pPr>
        <w:jc w:val="both"/>
      </w:pPr>
      <w:r w:rsidRPr="00756533">
        <w:t xml:space="preserve">A Heritage Statement </w:t>
      </w:r>
      <w:r w:rsidR="003942AD">
        <w:t xml:space="preserve">has </w:t>
      </w:r>
      <w:r w:rsidRPr="00756533">
        <w:t>been submitted with the planning application</w:t>
      </w:r>
      <w:r>
        <w:t xml:space="preserve">, which sets out the significance of the </w:t>
      </w:r>
      <w:r w:rsidR="003942AD">
        <w:t xml:space="preserve">adjacent </w:t>
      </w:r>
      <w:r>
        <w:t>conservation area</w:t>
      </w:r>
      <w:r w:rsidR="003942AD">
        <w:t xml:space="preserve"> a</w:t>
      </w:r>
      <w:r>
        <w:t xml:space="preserve">nd </w:t>
      </w:r>
      <w:r w:rsidR="003942AD">
        <w:t xml:space="preserve">assesses the </w:t>
      </w:r>
      <w:r>
        <w:t xml:space="preserve">impact the proposed development would have on the significance of the designated and non-designated heritage assets. </w:t>
      </w:r>
    </w:p>
    <w:p w:rsidR="003942AD" w:rsidRDefault="003942AD" w:rsidP="00200F93">
      <w:pPr>
        <w:jc w:val="both"/>
      </w:pPr>
      <w:r>
        <w:t xml:space="preserve">Due to the increase in </w:t>
      </w:r>
      <w:r w:rsidR="007B11EC">
        <w:t xml:space="preserve">building height compared to the existing properties in Staunton Road and West </w:t>
      </w:r>
      <w:proofErr w:type="gramStart"/>
      <w:r w:rsidR="007B11EC">
        <w:t xml:space="preserve">Street, </w:t>
      </w:r>
      <w:r>
        <w:t xml:space="preserve"> the</w:t>
      </w:r>
      <w:proofErr w:type="gramEnd"/>
      <w:r>
        <w:t xml:space="preserve"> proposed building would be partially visible in the back drop of Stanton Road and more clearly in gap in the terraced housing along Staunton Road (opposite the junction of Western Road). However, given the distances show (a distance plan is provided </w:t>
      </w:r>
      <w:r w:rsidR="007B11EC">
        <w:t>with the application)</w:t>
      </w:r>
      <w:r>
        <w:t>, the building would be positioned some (</w:t>
      </w:r>
      <w:r w:rsidR="007B11EC">
        <w:t xml:space="preserve">40m </w:t>
      </w:r>
      <w:r>
        <w:t xml:space="preserve">approx.) from Staunton Road and therefore </w:t>
      </w:r>
      <w:r w:rsidR="007B11EC">
        <w:t xml:space="preserve">is </w:t>
      </w:r>
      <w:bookmarkStart w:id="0" w:name="_GoBack"/>
      <w:bookmarkEnd w:id="0"/>
      <w:r>
        <w:t xml:space="preserve">unlikely to have a significant visual impact.  </w:t>
      </w:r>
    </w:p>
    <w:p w:rsidR="00935BBC" w:rsidRDefault="003942AD" w:rsidP="007C6D52">
      <w:pPr>
        <w:jc w:val="both"/>
      </w:pPr>
      <w:r>
        <w:t xml:space="preserve">Whilst the materials are of a more contemporary nature (nonetheless muted in tone), the overall design is that of a traditional building and as such, accords with the prevailing character of the CA which is that of traditional Victorian style buildings. </w:t>
      </w:r>
    </w:p>
    <w:p w:rsidR="007C6D52" w:rsidRDefault="00DD3555" w:rsidP="00D75072">
      <w:pPr>
        <w:jc w:val="both"/>
      </w:pPr>
      <w:r>
        <w:t xml:space="preserve">Overall </w:t>
      </w:r>
      <w:r w:rsidR="007C6D52">
        <w:t xml:space="preserve">is it considered that the proposed development will not result in harm to the significance of the adjacent conservation area which is a designated heritage asset. </w:t>
      </w:r>
    </w:p>
    <w:p w:rsidR="00D75072" w:rsidRDefault="007C6D52" w:rsidP="00D75072">
      <w:pPr>
        <w:jc w:val="both"/>
      </w:pPr>
      <w:r>
        <w:t xml:space="preserve">If permission is granted, I would ask to be consulted on the materials samples once submitted prior to agreement. </w:t>
      </w:r>
    </w:p>
    <w:p w:rsidR="00935BBC" w:rsidRPr="00935BBC" w:rsidRDefault="00935BBC" w:rsidP="00C265E2">
      <w:pPr>
        <w:rPr>
          <w:b/>
        </w:rPr>
      </w:pPr>
      <w:r w:rsidRPr="00935BBC">
        <w:rPr>
          <w:b/>
        </w:rPr>
        <w:t xml:space="preserve">Conclusion </w:t>
      </w:r>
    </w:p>
    <w:p w:rsidR="00935BBC" w:rsidRDefault="00D75072" w:rsidP="00935BBC">
      <w:r>
        <w:t xml:space="preserve">No </w:t>
      </w:r>
      <w:r w:rsidR="00935BBC" w:rsidRPr="00935BBC">
        <w:t xml:space="preserve">Objection </w:t>
      </w:r>
    </w:p>
    <w:p w:rsidR="00935BBC" w:rsidRDefault="00935BBC" w:rsidP="00935BBC">
      <w:r>
        <w:t xml:space="preserve">Rachael McMurray </w:t>
      </w:r>
    </w:p>
    <w:p w:rsidR="00935BBC" w:rsidRDefault="00935BBC" w:rsidP="00935BBC">
      <w:r>
        <w:t xml:space="preserve">Senior Conservation Officer </w:t>
      </w:r>
    </w:p>
    <w:p w:rsidR="007B11EC" w:rsidRPr="00935BBC" w:rsidRDefault="007B11EC" w:rsidP="00935BBC">
      <w:r>
        <w:t>29/6/20</w:t>
      </w:r>
    </w:p>
    <w:p w:rsidR="00935BBC" w:rsidRPr="005543AE" w:rsidRDefault="00935BBC" w:rsidP="00C265E2"/>
    <w:sectPr w:rsidR="00935BBC" w:rsidRPr="00554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E2"/>
    <w:rsid w:val="000F74BD"/>
    <w:rsid w:val="001831F6"/>
    <w:rsid w:val="001B06FD"/>
    <w:rsid w:val="00200F93"/>
    <w:rsid w:val="002B17C2"/>
    <w:rsid w:val="003942AD"/>
    <w:rsid w:val="00441370"/>
    <w:rsid w:val="00501AB9"/>
    <w:rsid w:val="005543AE"/>
    <w:rsid w:val="00554CD7"/>
    <w:rsid w:val="005B39ED"/>
    <w:rsid w:val="00631221"/>
    <w:rsid w:val="00691D74"/>
    <w:rsid w:val="00743020"/>
    <w:rsid w:val="00756533"/>
    <w:rsid w:val="00782D3C"/>
    <w:rsid w:val="007B11EC"/>
    <w:rsid w:val="007C6D52"/>
    <w:rsid w:val="0080117E"/>
    <w:rsid w:val="00816748"/>
    <w:rsid w:val="008D1A2F"/>
    <w:rsid w:val="00935BBC"/>
    <w:rsid w:val="009C264D"/>
    <w:rsid w:val="00B83F95"/>
    <w:rsid w:val="00B96612"/>
    <w:rsid w:val="00C265E2"/>
    <w:rsid w:val="00CB3293"/>
    <w:rsid w:val="00D26B11"/>
    <w:rsid w:val="00D75072"/>
    <w:rsid w:val="00D909EA"/>
    <w:rsid w:val="00DD3555"/>
    <w:rsid w:val="00EB60A9"/>
    <w:rsid w:val="00ED3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1C76"/>
  <w15:chartTrackingRefBased/>
  <w15:docId w15:val="{375402BA-3236-4258-8AA9-1AA98C06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B39ED"/>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McMurray, Rachael</cp:lastModifiedBy>
  <cp:revision>4</cp:revision>
  <dcterms:created xsi:type="dcterms:W3CDTF">2020-06-29T12:27:00Z</dcterms:created>
  <dcterms:modified xsi:type="dcterms:W3CDTF">2020-06-29T12:53:00Z</dcterms:modified>
</cp:coreProperties>
</file>