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FF415" w14:textId="27924941" w:rsidR="00BD302B" w:rsidRDefault="00BD302B">
      <w:pPr>
        <w:rPr>
          <w:rFonts w:ascii="Arial" w:hAnsi="Arial" w:cs="Arial"/>
          <w:b/>
        </w:rPr>
      </w:pPr>
      <w:r>
        <w:rPr>
          <w:rFonts w:ascii="Arial" w:hAnsi="Arial" w:cs="Arial"/>
          <w:b/>
        </w:rPr>
        <w:t xml:space="preserve">Shared Heritage Team Consultation Response </w:t>
      </w:r>
    </w:p>
    <w:p w14:paraId="65604082" w14:textId="7A86113B" w:rsidR="00247EA3" w:rsidRPr="0050057B" w:rsidRDefault="00247EA3">
      <w:pPr>
        <w:rPr>
          <w:rFonts w:ascii="Arial" w:hAnsi="Arial" w:cs="Arial"/>
          <w:b/>
        </w:rPr>
      </w:pPr>
      <w:r w:rsidRPr="0050057B">
        <w:rPr>
          <w:rFonts w:ascii="Arial" w:hAnsi="Arial" w:cs="Arial"/>
          <w:b/>
        </w:rPr>
        <w:t xml:space="preserve">Application – </w:t>
      </w:r>
      <w:r w:rsidRPr="0050057B">
        <w:rPr>
          <w:rFonts w:ascii="Arial" w:hAnsi="Arial" w:cs="Arial"/>
        </w:rPr>
        <w:t>APP/</w:t>
      </w:r>
      <w:r w:rsidR="00BD302B">
        <w:rPr>
          <w:rFonts w:ascii="Arial" w:hAnsi="Arial" w:cs="Arial"/>
        </w:rPr>
        <w:t>20/00077</w:t>
      </w:r>
    </w:p>
    <w:p w14:paraId="52667611" w14:textId="6D726894" w:rsidR="00247EA3" w:rsidRPr="0050057B" w:rsidRDefault="00247EA3">
      <w:pPr>
        <w:rPr>
          <w:rFonts w:ascii="Arial" w:hAnsi="Arial" w:cs="Arial"/>
          <w:b/>
        </w:rPr>
      </w:pPr>
      <w:r w:rsidRPr="0050057B">
        <w:rPr>
          <w:rFonts w:ascii="Arial" w:hAnsi="Arial" w:cs="Arial"/>
          <w:b/>
        </w:rPr>
        <w:t xml:space="preserve">Site – </w:t>
      </w:r>
      <w:proofErr w:type="spellStart"/>
      <w:r w:rsidR="00BD302B" w:rsidRPr="00BD302B">
        <w:rPr>
          <w:rFonts w:ascii="Arial" w:hAnsi="Arial" w:cs="Arial"/>
        </w:rPr>
        <w:t>Farlington</w:t>
      </w:r>
      <w:proofErr w:type="spellEnd"/>
      <w:r w:rsidR="00BD302B" w:rsidRPr="00BD302B">
        <w:rPr>
          <w:rFonts w:ascii="Arial" w:hAnsi="Arial" w:cs="Arial"/>
        </w:rPr>
        <w:t xml:space="preserve"> Redoubt, Portsdown Hill Road</w:t>
      </w:r>
    </w:p>
    <w:p w14:paraId="103FCC1C" w14:textId="2EBA23A6" w:rsidR="00BD302B" w:rsidRPr="006B598C" w:rsidRDefault="006B598C">
      <w:pPr>
        <w:rPr>
          <w:rFonts w:ascii="Arial" w:hAnsi="Arial" w:cs="Arial"/>
        </w:rPr>
      </w:pPr>
      <w:r w:rsidRPr="006B598C">
        <w:rPr>
          <w:rFonts w:ascii="Arial" w:hAnsi="Arial" w:cs="Arial"/>
          <w:b/>
        </w:rPr>
        <w:t xml:space="preserve">Date </w:t>
      </w:r>
      <w:r w:rsidRPr="006B598C">
        <w:rPr>
          <w:rFonts w:ascii="Arial" w:hAnsi="Arial" w:cs="Arial"/>
        </w:rPr>
        <w:t>– 13/2/20</w:t>
      </w:r>
    </w:p>
    <w:p w14:paraId="76E13155" w14:textId="3211133D" w:rsidR="005C4710" w:rsidRDefault="005C4710">
      <w:pPr>
        <w:rPr>
          <w:rFonts w:ascii="Arial" w:hAnsi="Arial" w:cs="Arial"/>
          <w:b/>
          <w:u w:val="single"/>
        </w:rPr>
      </w:pPr>
      <w:r w:rsidRPr="0050057B">
        <w:rPr>
          <w:rFonts w:ascii="Arial" w:hAnsi="Arial" w:cs="Arial"/>
          <w:b/>
          <w:u w:val="single"/>
        </w:rPr>
        <w:t>Site</w:t>
      </w:r>
    </w:p>
    <w:p w14:paraId="0327E09A" w14:textId="0D29E010" w:rsidR="00A33205" w:rsidRDefault="00BD302B">
      <w:pPr>
        <w:rPr>
          <w:rFonts w:ascii="Arial" w:hAnsi="Arial" w:cs="Arial"/>
        </w:rPr>
      </w:pPr>
      <w:r>
        <w:rPr>
          <w:rFonts w:ascii="Arial" w:hAnsi="Arial" w:cs="Arial"/>
        </w:rPr>
        <w:t>The site comprises a gas w</w:t>
      </w:r>
      <w:bookmarkStart w:id="0" w:name="_GoBack"/>
      <w:bookmarkEnd w:id="0"/>
      <w:r>
        <w:rPr>
          <w:rFonts w:ascii="Arial" w:hAnsi="Arial" w:cs="Arial"/>
        </w:rPr>
        <w:t xml:space="preserve">ork facility located in the footprint of a former </w:t>
      </w:r>
      <w:r w:rsidRPr="00BD302B">
        <w:rPr>
          <w:rFonts w:ascii="Arial" w:hAnsi="Arial" w:cs="Arial"/>
        </w:rPr>
        <w:t>19</w:t>
      </w:r>
      <w:r w:rsidRPr="00BD302B">
        <w:rPr>
          <w:rFonts w:ascii="Arial" w:hAnsi="Arial" w:cs="Arial"/>
          <w:vertAlign w:val="superscript"/>
        </w:rPr>
        <w:t>th</w:t>
      </w:r>
      <w:r w:rsidRPr="00BD302B">
        <w:rPr>
          <w:rFonts w:ascii="Arial" w:hAnsi="Arial" w:cs="Arial"/>
        </w:rPr>
        <w:t xml:space="preserve"> C defensive emplacement</w:t>
      </w:r>
      <w:r>
        <w:rPr>
          <w:rFonts w:ascii="Arial" w:hAnsi="Arial" w:cs="Arial"/>
        </w:rPr>
        <w:t xml:space="preserve"> – </w:t>
      </w:r>
      <w:proofErr w:type="spellStart"/>
      <w:r>
        <w:rPr>
          <w:rFonts w:ascii="Arial" w:hAnsi="Arial" w:cs="Arial"/>
        </w:rPr>
        <w:t>Farlington</w:t>
      </w:r>
      <w:proofErr w:type="spellEnd"/>
      <w:r>
        <w:rPr>
          <w:rFonts w:ascii="Arial" w:hAnsi="Arial" w:cs="Arial"/>
        </w:rPr>
        <w:t xml:space="preserve"> redoubt. This was excavated after WWII to make way for a quarry. It has been a storage facility for gas since the 70</w:t>
      </w:r>
      <w:r w:rsidR="00A33205">
        <w:rPr>
          <w:rFonts w:ascii="Arial" w:hAnsi="Arial" w:cs="Arial"/>
        </w:rPr>
        <w:t>’s.</w:t>
      </w:r>
      <w:r>
        <w:rPr>
          <w:rFonts w:ascii="Arial" w:hAnsi="Arial" w:cs="Arial"/>
        </w:rPr>
        <w:t xml:space="preserve"> The site is located to the east of Fort </w:t>
      </w:r>
      <w:proofErr w:type="spellStart"/>
      <w:r>
        <w:rPr>
          <w:rFonts w:ascii="Arial" w:hAnsi="Arial" w:cs="Arial"/>
        </w:rPr>
        <w:t>Purbrook</w:t>
      </w:r>
      <w:proofErr w:type="spellEnd"/>
      <w:r>
        <w:rPr>
          <w:rFonts w:ascii="Arial" w:hAnsi="Arial" w:cs="Arial"/>
        </w:rPr>
        <w:t xml:space="preserve"> which is listed as scheduled moment and is linked via a covered walkway which is including in the scheduling. There are other scheduled monuments in the nearby vicinity </w:t>
      </w:r>
      <w:proofErr w:type="gramStart"/>
      <w:r>
        <w:rPr>
          <w:rFonts w:ascii="Arial" w:hAnsi="Arial" w:cs="Arial"/>
        </w:rPr>
        <w:t>and also</w:t>
      </w:r>
      <w:proofErr w:type="gramEnd"/>
      <w:r>
        <w:rPr>
          <w:rFonts w:ascii="Arial" w:hAnsi="Arial" w:cs="Arial"/>
        </w:rPr>
        <w:t xml:space="preserve"> 2no. listed buildings on Portsdown Hill Road. </w:t>
      </w:r>
    </w:p>
    <w:p w14:paraId="541BCFB8" w14:textId="7BE33B69" w:rsidR="00BD302B" w:rsidRDefault="00BD302B">
      <w:pPr>
        <w:rPr>
          <w:rFonts w:ascii="Arial" w:hAnsi="Arial" w:cs="Arial"/>
        </w:rPr>
      </w:pPr>
      <w:r>
        <w:rPr>
          <w:rFonts w:ascii="Arial" w:hAnsi="Arial" w:cs="Arial"/>
        </w:rPr>
        <w:t xml:space="preserve">The footprint of the former redoubt has been </w:t>
      </w:r>
      <w:r w:rsidR="00A33205">
        <w:rPr>
          <w:rFonts w:ascii="Arial" w:hAnsi="Arial" w:cs="Arial"/>
        </w:rPr>
        <w:t>recorded</w:t>
      </w:r>
      <w:r>
        <w:rPr>
          <w:rFonts w:ascii="Arial" w:hAnsi="Arial" w:cs="Arial"/>
        </w:rPr>
        <w:t xml:space="preserve"> by Hampshire County Council as a non-designated heritage asset due to its historic interest</w:t>
      </w:r>
      <w:r w:rsidR="00A33205">
        <w:rPr>
          <w:rFonts w:ascii="Arial" w:hAnsi="Arial" w:cs="Arial"/>
        </w:rPr>
        <w:t xml:space="preserve">. </w:t>
      </w:r>
    </w:p>
    <w:p w14:paraId="614906AC" w14:textId="69C81318" w:rsidR="002E0B68" w:rsidRPr="0050057B" w:rsidRDefault="002E0B68">
      <w:pPr>
        <w:rPr>
          <w:rFonts w:ascii="Arial" w:hAnsi="Arial" w:cs="Arial"/>
          <w:b/>
          <w:u w:val="single"/>
        </w:rPr>
      </w:pPr>
      <w:r w:rsidRPr="0050057B">
        <w:rPr>
          <w:rFonts w:ascii="Arial" w:hAnsi="Arial" w:cs="Arial"/>
          <w:b/>
          <w:u w:val="single"/>
        </w:rPr>
        <w:t>Proposal</w:t>
      </w:r>
    </w:p>
    <w:p w14:paraId="383D1411" w14:textId="38097D7D" w:rsidR="006A5850" w:rsidRDefault="00BD302B" w:rsidP="006A5850">
      <w:pPr>
        <w:autoSpaceDE w:val="0"/>
        <w:autoSpaceDN w:val="0"/>
        <w:adjustRightInd w:val="0"/>
        <w:spacing w:after="0" w:line="240" w:lineRule="auto"/>
        <w:rPr>
          <w:rFonts w:ascii="Arial" w:hAnsi="Arial" w:cs="Arial"/>
        </w:rPr>
      </w:pPr>
      <w:r>
        <w:rPr>
          <w:rFonts w:ascii="Arial" w:hAnsi="Arial" w:cs="Arial"/>
        </w:rPr>
        <w:t xml:space="preserve">The proposal is for a change of use of the site to allow third parties to use the gas facility. </w:t>
      </w:r>
      <w:r w:rsidR="00A33205">
        <w:rPr>
          <w:rFonts w:ascii="Arial" w:hAnsi="Arial" w:cs="Arial"/>
        </w:rPr>
        <w:t xml:space="preserve">No </w:t>
      </w:r>
      <w:r w:rsidR="006B598C">
        <w:rPr>
          <w:rFonts w:ascii="Arial" w:hAnsi="Arial" w:cs="Arial"/>
        </w:rPr>
        <w:t xml:space="preserve">physical structures are proposed, nor any chances to the existing built structures on the site. </w:t>
      </w:r>
    </w:p>
    <w:p w14:paraId="2CCF3F90" w14:textId="77777777" w:rsidR="00BD302B" w:rsidRPr="006A5850" w:rsidRDefault="00BD302B" w:rsidP="006A5850">
      <w:pPr>
        <w:autoSpaceDE w:val="0"/>
        <w:autoSpaceDN w:val="0"/>
        <w:adjustRightInd w:val="0"/>
        <w:spacing w:after="0" w:line="240" w:lineRule="auto"/>
        <w:rPr>
          <w:rFonts w:ascii="Arial" w:hAnsi="Arial" w:cs="Arial"/>
        </w:rPr>
      </w:pPr>
    </w:p>
    <w:p w14:paraId="2EEB03AF" w14:textId="18CC96B5" w:rsidR="004013D4" w:rsidRPr="0050057B" w:rsidRDefault="004013D4" w:rsidP="004013D4">
      <w:pPr>
        <w:jc w:val="both"/>
        <w:rPr>
          <w:rFonts w:ascii="Arial" w:hAnsi="Arial" w:cs="Arial"/>
          <w:b/>
          <w:u w:val="single"/>
        </w:rPr>
      </w:pPr>
      <w:r w:rsidRPr="0050057B">
        <w:rPr>
          <w:rFonts w:ascii="Arial" w:hAnsi="Arial" w:cs="Arial"/>
          <w:b/>
          <w:u w:val="single"/>
        </w:rPr>
        <w:t xml:space="preserve">Legislative and Policy Context </w:t>
      </w:r>
    </w:p>
    <w:p w14:paraId="36432EBA" w14:textId="0CE33B31" w:rsidR="004013D4" w:rsidRDefault="0050057B" w:rsidP="004013D4">
      <w:pPr>
        <w:jc w:val="both"/>
        <w:rPr>
          <w:rFonts w:ascii="Arial" w:hAnsi="Arial" w:cs="Arial"/>
        </w:rPr>
      </w:pPr>
      <w:r>
        <w:rPr>
          <w:rFonts w:ascii="Arial" w:hAnsi="Arial" w:cs="Arial"/>
        </w:rPr>
        <w:t xml:space="preserve">Given the location </w:t>
      </w:r>
      <w:r w:rsidR="00A33205">
        <w:rPr>
          <w:rFonts w:ascii="Arial" w:hAnsi="Arial" w:cs="Arial"/>
        </w:rPr>
        <w:t xml:space="preserve">of the site adjacent to a scheduled monument and the local historic interest of the site, the following legislation is relevant. </w:t>
      </w:r>
    </w:p>
    <w:p w14:paraId="4C059489" w14:textId="77777777" w:rsidR="00A33205" w:rsidRPr="00A33205" w:rsidRDefault="00A33205" w:rsidP="00A33205">
      <w:pPr>
        <w:jc w:val="both"/>
        <w:rPr>
          <w:rFonts w:ascii="Arial" w:hAnsi="Arial" w:cs="Arial"/>
        </w:rPr>
      </w:pPr>
      <w:r w:rsidRPr="00A33205">
        <w:rPr>
          <w:rFonts w:ascii="Arial" w:hAnsi="Arial" w:cs="Arial"/>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338B1D8" w14:textId="77777777" w:rsidR="00A33205" w:rsidRPr="00A33205" w:rsidRDefault="00A33205" w:rsidP="00A33205">
      <w:pPr>
        <w:autoSpaceDE w:val="0"/>
        <w:autoSpaceDN w:val="0"/>
        <w:adjustRightInd w:val="0"/>
        <w:spacing w:after="0" w:line="240" w:lineRule="auto"/>
        <w:jc w:val="both"/>
        <w:rPr>
          <w:rFonts w:ascii="Arial" w:hAnsi="Arial" w:cs="Arial"/>
        </w:rPr>
      </w:pPr>
      <w:r w:rsidRPr="00A33205">
        <w:rPr>
          <w:rFonts w:ascii="Arial" w:hAnsi="Arial" w:cs="Arial"/>
        </w:rPr>
        <w:t xml:space="preserve">The revised National Planning Policy Framework (NPPF) was published in February 2019 and sets down the policies that the Council must </w:t>
      </w:r>
      <w:proofErr w:type="gramStart"/>
      <w:r w:rsidRPr="00A33205">
        <w:rPr>
          <w:rFonts w:ascii="Arial" w:hAnsi="Arial" w:cs="Arial"/>
        </w:rPr>
        <w:t>take into account</w:t>
      </w:r>
      <w:proofErr w:type="gramEnd"/>
      <w:r w:rsidRPr="00A33205">
        <w:rPr>
          <w:rFonts w:ascii="Arial" w:hAnsi="Arial" w:cs="Arial"/>
        </w:rPr>
        <w:t xml:space="preserve"> when determining planning applications. The ‘Historic Environment Good Practice Advice in Planning Note 2’, states at paragraph 4:  </w:t>
      </w:r>
    </w:p>
    <w:p w14:paraId="610BA0CE" w14:textId="77777777" w:rsidR="00A33205" w:rsidRPr="00A33205" w:rsidRDefault="00A33205" w:rsidP="00A33205">
      <w:pPr>
        <w:autoSpaceDE w:val="0"/>
        <w:autoSpaceDN w:val="0"/>
        <w:adjustRightInd w:val="0"/>
        <w:spacing w:after="0" w:line="240" w:lineRule="auto"/>
        <w:jc w:val="both"/>
        <w:rPr>
          <w:rFonts w:ascii="Arial" w:hAnsi="Arial" w:cs="Arial"/>
        </w:rPr>
      </w:pPr>
    </w:p>
    <w:p w14:paraId="1624EA10" w14:textId="77777777" w:rsidR="00A33205" w:rsidRPr="00A33205" w:rsidRDefault="00A33205" w:rsidP="00A33205">
      <w:pPr>
        <w:jc w:val="both"/>
        <w:rPr>
          <w:rFonts w:ascii="Arial" w:hAnsi="Arial" w:cs="Arial"/>
        </w:rPr>
      </w:pPr>
      <w:r w:rsidRPr="00A33205">
        <w:rPr>
          <w:rFonts w:ascii="Arial" w:hAnsi="Arial" w:cs="Arial"/>
        </w:rPr>
        <w:t xml:space="preserve">‘The significance of a heritage asset is the sum of its archaeological, architectural, historic, and artistic interest’ and provides at paragraphs 8, 9 and 10 that </w:t>
      </w:r>
      <w:proofErr w:type="gramStart"/>
      <w:r w:rsidRPr="00A33205">
        <w:rPr>
          <w:rFonts w:ascii="Arial" w:hAnsi="Arial" w:cs="Arial"/>
        </w:rPr>
        <w:t>in order for</w:t>
      </w:r>
      <w:proofErr w:type="gramEnd"/>
      <w:r w:rsidRPr="00A33205">
        <w:rPr>
          <w:rFonts w:ascii="Arial" w:hAnsi="Arial" w:cs="Arial"/>
        </w:rPr>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14:paraId="21341885" w14:textId="77777777" w:rsidR="00A33205" w:rsidRPr="00A33205" w:rsidRDefault="00A33205" w:rsidP="00A33205">
      <w:pPr>
        <w:jc w:val="both"/>
        <w:rPr>
          <w:rFonts w:ascii="Arial" w:hAnsi="Arial" w:cs="Arial"/>
        </w:rPr>
      </w:pPr>
      <w:r w:rsidRPr="00A33205">
        <w:rPr>
          <w:rFonts w:ascii="Arial" w:hAnsi="Arial" w:cs="Arial"/>
        </w:rPr>
        <w:t>The revised NPPF (February 2019) sets out in Chapter 16, the core principles relating to development affecting Heritage Assets that local planning authorities should consider in making planning decisions in the following paragraphs:</w:t>
      </w:r>
    </w:p>
    <w:p w14:paraId="669D5C56" w14:textId="77777777" w:rsidR="00A33205" w:rsidRPr="004013D4" w:rsidRDefault="00A33205" w:rsidP="00A33205">
      <w:pPr>
        <w:jc w:val="both"/>
        <w:rPr>
          <w:rFonts w:ascii="Arial" w:hAnsi="Arial" w:cs="Arial"/>
          <w:sz w:val="24"/>
          <w:szCs w:val="24"/>
        </w:rPr>
      </w:pPr>
      <w:r w:rsidRPr="00A33205">
        <w:rPr>
          <w:rFonts w:ascii="Arial" w:hAnsi="Arial" w:cs="Arial"/>
        </w:rPr>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3DEC4E05" w14:textId="77777777" w:rsidR="00A33205" w:rsidRPr="00A33205" w:rsidRDefault="00A33205" w:rsidP="00A33205">
      <w:pPr>
        <w:jc w:val="both"/>
        <w:rPr>
          <w:rFonts w:ascii="Arial" w:hAnsi="Arial" w:cs="Arial"/>
        </w:rPr>
      </w:pPr>
      <w:r w:rsidRPr="00A33205">
        <w:rPr>
          <w:rFonts w:ascii="Arial" w:hAnsi="Arial" w:cs="Arial"/>
        </w:rPr>
        <w:lastRenderedPageBreak/>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2D79FC8B" w14:textId="77777777" w:rsidR="00A33205" w:rsidRPr="00A33205" w:rsidRDefault="00A33205" w:rsidP="00A33205">
      <w:pPr>
        <w:jc w:val="both"/>
        <w:rPr>
          <w:rFonts w:ascii="Arial" w:hAnsi="Arial" w:cs="Arial"/>
        </w:rPr>
      </w:pPr>
      <w:r w:rsidRPr="00A33205">
        <w:rPr>
          <w:rFonts w:ascii="Arial" w:hAnsi="Arial" w:cs="Arial"/>
        </w:rPr>
        <w:t xml:space="preserve">190. Local planning authorities should identify and assess the </w:t>
      </w:r>
      <w:proofErr w:type="gramStart"/>
      <w:r w:rsidRPr="00A33205">
        <w:rPr>
          <w:rFonts w:ascii="Arial" w:hAnsi="Arial" w:cs="Arial"/>
        </w:rPr>
        <w:t>particular significance</w:t>
      </w:r>
      <w:proofErr w:type="gramEnd"/>
      <w:r w:rsidRPr="00A33205">
        <w:rPr>
          <w:rFonts w:ascii="Arial" w:hAnsi="Arial" w:cs="Arial"/>
        </w:rPr>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3BDA3B76" w14:textId="77777777" w:rsidR="00A33205" w:rsidRPr="00A33205" w:rsidRDefault="00A33205" w:rsidP="00A33205">
      <w:pPr>
        <w:jc w:val="both"/>
        <w:rPr>
          <w:rFonts w:ascii="Arial" w:hAnsi="Arial" w:cs="Arial"/>
        </w:rPr>
      </w:pPr>
      <w:r w:rsidRPr="00A33205">
        <w:rPr>
          <w:rFonts w:ascii="Arial" w:hAnsi="Arial" w:cs="Arial"/>
        </w:rPr>
        <w:t xml:space="preserve">191. Where there is evidence of deliberate neglect of, or damage to, a heritage asset, the deteriorated state of the heritage asset should not be </w:t>
      </w:r>
      <w:proofErr w:type="gramStart"/>
      <w:r w:rsidRPr="00A33205">
        <w:rPr>
          <w:rFonts w:ascii="Arial" w:hAnsi="Arial" w:cs="Arial"/>
        </w:rPr>
        <w:t>taken into account</w:t>
      </w:r>
      <w:proofErr w:type="gramEnd"/>
      <w:r w:rsidRPr="00A33205">
        <w:rPr>
          <w:rFonts w:ascii="Arial" w:hAnsi="Arial" w:cs="Arial"/>
        </w:rPr>
        <w:t xml:space="preserve"> in any decision. </w:t>
      </w:r>
    </w:p>
    <w:p w14:paraId="3E27E4F9" w14:textId="77777777" w:rsidR="00A33205" w:rsidRPr="00A33205" w:rsidRDefault="00A33205" w:rsidP="00A33205">
      <w:pPr>
        <w:jc w:val="both"/>
        <w:rPr>
          <w:rFonts w:ascii="Arial" w:hAnsi="Arial" w:cs="Arial"/>
        </w:rPr>
      </w:pPr>
      <w:r w:rsidRPr="00A33205">
        <w:rPr>
          <w:rFonts w:ascii="Arial" w:hAnsi="Arial" w:cs="Arial"/>
        </w:rPr>
        <w:t xml:space="preserve">192. In determining applications, local planning authorities should take account of: </w:t>
      </w:r>
    </w:p>
    <w:p w14:paraId="1B880CC2" w14:textId="77777777" w:rsidR="00A33205" w:rsidRPr="00A33205" w:rsidRDefault="00A33205" w:rsidP="00A33205">
      <w:pPr>
        <w:jc w:val="both"/>
        <w:rPr>
          <w:rFonts w:ascii="Arial" w:hAnsi="Arial" w:cs="Arial"/>
        </w:rPr>
      </w:pPr>
      <w:r w:rsidRPr="00A33205">
        <w:rPr>
          <w:rFonts w:ascii="Arial" w:hAnsi="Arial" w:cs="Arial"/>
        </w:rPr>
        <w:t xml:space="preserve">a) the desirability of sustaining and enhancing the significance of heritage assets and putting them to viable uses consistent with their conservation; </w:t>
      </w:r>
    </w:p>
    <w:p w14:paraId="4D5E4252" w14:textId="77777777" w:rsidR="00A33205" w:rsidRPr="00A33205" w:rsidRDefault="00A33205" w:rsidP="00A33205">
      <w:pPr>
        <w:jc w:val="both"/>
        <w:rPr>
          <w:rFonts w:ascii="Arial" w:hAnsi="Arial" w:cs="Arial"/>
        </w:rPr>
      </w:pPr>
      <w:r w:rsidRPr="00A33205">
        <w:rPr>
          <w:rFonts w:ascii="Arial" w:hAnsi="Arial" w:cs="Arial"/>
        </w:rPr>
        <w:t xml:space="preserve">b) the positive contribution that conservation of heritage assets can make to sustainable communities including their economic vitality; and </w:t>
      </w:r>
    </w:p>
    <w:p w14:paraId="34232772" w14:textId="77777777" w:rsidR="00A33205" w:rsidRPr="00A33205" w:rsidRDefault="00A33205" w:rsidP="00A33205">
      <w:pPr>
        <w:jc w:val="both"/>
        <w:rPr>
          <w:rFonts w:ascii="Arial" w:hAnsi="Arial" w:cs="Arial"/>
        </w:rPr>
      </w:pPr>
      <w:r w:rsidRPr="00A33205">
        <w:rPr>
          <w:rFonts w:ascii="Arial" w:hAnsi="Arial" w:cs="Arial"/>
        </w:rPr>
        <w:t>c) the desirability of new development making a positive contribution to local character and distinctiveness.</w:t>
      </w:r>
    </w:p>
    <w:p w14:paraId="43AD0A38" w14:textId="77777777" w:rsidR="00A33205" w:rsidRPr="00A33205" w:rsidRDefault="00A33205" w:rsidP="00A33205">
      <w:pPr>
        <w:spacing w:after="0" w:line="240" w:lineRule="auto"/>
        <w:rPr>
          <w:rFonts w:ascii="Arial" w:eastAsia="Times New Roman" w:hAnsi="Arial" w:cs="Arial"/>
          <w:bCs/>
        </w:rPr>
      </w:pPr>
      <w:r w:rsidRPr="00A33205">
        <w:rPr>
          <w:rFonts w:ascii="Arial" w:eastAsia="Calibri" w:hAnsi="Arial" w:cs="Arial"/>
          <w:iCs/>
        </w:rPr>
        <w:t xml:space="preserve">With regards to local planning policy, </w:t>
      </w:r>
      <w:r w:rsidRPr="00A33205">
        <w:rPr>
          <w:rFonts w:ascii="Arial" w:eastAsia="Times New Roman" w:hAnsi="Arial" w:cs="Arial"/>
        </w:rPr>
        <w:t xml:space="preserve">Policy CS11 of the Havant Borough Core Strategy 2011 states that </w:t>
      </w:r>
      <w:r w:rsidRPr="00A33205">
        <w:rPr>
          <w:rFonts w:ascii="Arial" w:eastAsia="Times New Roman" w:hAnsi="Arial" w:cs="Arial"/>
          <w:bCs/>
        </w:rPr>
        <w:t>planning permission will be granted for development that:</w:t>
      </w:r>
    </w:p>
    <w:p w14:paraId="606DDCF6" w14:textId="77777777" w:rsidR="00A33205" w:rsidRPr="00A33205" w:rsidRDefault="00A33205" w:rsidP="00A33205">
      <w:pPr>
        <w:spacing w:after="0" w:line="240" w:lineRule="auto"/>
        <w:rPr>
          <w:rFonts w:ascii="Arial" w:eastAsia="Times New Roman" w:hAnsi="Arial" w:cs="Arial"/>
          <w:bCs/>
        </w:rPr>
      </w:pPr>
    </w:p>
    <w:p w14:paraId="71C2A24E" w14:textId="77777777" w:rsidR="00A33205" w:rsidRPr="00A33205" w:rsidRDefault="00A33205" w:rsidP="00A33205">
      <w:pPr>
        <w:spacing w:after="0" w:line="240" w:lineRule="auto"/>
        <w:rPr>
          <w:rFonts w:ascii="Arial" w:eastAsia="Times New Roman" w:hAnsi="Arial" w:cs="Arial"/>
        </w:rPr>
      </w:pPr>
      <w:r w:rsidRPr="00A33205">
        <w:rPr>
          <w:rFonts w:ascii="Arial" w:eastAsia="Times New Roman" w:hAnsi="Arial" w:cs="Arial"/>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52D97B7A" w14:textId="77777777" w:rsidR="00A33205" w:rsidRPr="00A33205" w:rsidRDefault="00A33205" w:rsidP="00A33205">
      <w:pPr>
        <w:spacing w:after="0" w:line="240" w:lineRule="auto"/>
        <w:rPr>
          <w:rFonts w:ascii="Arial" w:eastAsia="Times New Roman" w:hAnsi="Arial" w:cs="Arial"/>
        </w:rPr>
      </w:pPr>
    </w:p>
    <w:p w14:paraId="7C62DBF2" w14:textId="77777777" w:rsidR="00A33205" w:rsidRPr="00A33205" w:rsidRDefault="00A33205" w:rsidP="00A33205">
      <w:pPr>
        <w:spacing w:after="0" w:line="240" w:lineRule="auto"/>
        <w:rPr>
          <w:rFonts w:ascii="Arial" w:eastAsia="Times New Roman" w:hAnsi="Arial" w:cs="Arial"/>
        </w:rPr>
      </w:pPr>
      <w:r w:rsidRPr="00A33205">
        <w:rPr>
          <w:rFonts w:ascii="Arial" w:eastAsia="Times New Roman" w:hAnsi="Arial" w:cs="Arial"/>
        </w:rPr>
        <w:t>Policy CP16 (1a) of the Core Strategy states ‘Planning permission will be granted for development that is designed to a high standard, which helps to create places where people want to live, work and relax. All development should demonstrate that its design: ‘Identifies and responds positively to existing features of natural, historic or local character within or close to the proposed development site’’.</w:t>
      </w:r>
    </w:p>
    <w:p w14:paraId="779CD0F1" w14:textId="77777777" w:rsidR="00A33205" w:rsidRPr="00A33205" w:rsidRDefault="00A33205" w:rsidP="00A33205">
      <w:pPr>
        <w:spacing w:after="0" w:line="240" w:lineRule="auto"/>
        <w:ind w:left="360"/>
        <w:rPr>
          <w:rFonts w:ascii="Arial" w:eastAsia="Times New Roman" w:hAnsi="Arial" w:cs="Arial"/>
        </w:rPr>
      </w:pPr>
    </w:p>
    <w:p w14:paraId="56089B78" w14:textId="77777777" w:rsidR="00A33205" w:rsidRPr="00A33205" w:rsidRDefault="00A33205" w:rsidP="00A33205">
      <w:pPr>
        <w:spacing w:after="0" w:line="240" w:lineRule="auto"/>
        <w:rPr>
          <w:rFonts w:ascii="Arial" w:eastAsia="Times New Roman" w:hAnsi="Arial" w:cs="Arial"/>
        </w:rPr>
      </w:pPr>
      <w:r w:rsidRPr="00A33205">
        <w:rPr>
          <w:rFonts w:ascii="Arial" w:eastAsia="Times New Roman" w:hAnsi="Arial" w:cs="Arial"/>
        </w:rPr>
        <w:t xml:space="preserve">Policy DM20 of the Allocations Plan 2014 states that development proposals must conserve and enhance the historic assets of Havant’. </w:t>
      </w:r>
    </w:p>
    <w:p w14:paraId="259CEA99" w14:textId="77777777" w:rsidR="00A33205" w:rsidRPr="00A33205" w:rsidRDefault="00A33205" w:rsidP="00A33205">
      <w:pPr>
        <w:autoSpaceDE w:val="0"/>
        <w:autoSpaceDN w:val="0"/>
        <w:adjustRightInd w:val="0"/>
        <w:spacing w:after="0" w:line="240" w:lineRule="auto"/>
        <w:rPr>
          <w:rFonts w:ascii="Verdana" w:hAnsi="Verdana" w:cs="Verdana"/>
          <w:sz w:val="20"/>
          <w:szCs w:val="20"/>
        </w:rPr>
      </w:pPr>
    </w:p>
    <w:p w14:paraId="2CDFD862" w14:textId="1A07CCFB" w:rsidR="005C4710" w:rsidRDefault="005C4710">
      <w:pPr>
        <w:rPr>
          <w:rFonts w:ascii="Arial" w:hAnsi="Arial" w:cs="Arial"/>
          <w:b/>
          <w:u w:val="single"/>
        </w:rPr>
      </w:pPr>
      <w:r w:rsidRPr="0050057B">
        <w:rPr>
          <w:rFonts w:ascii="Arial" w:hAnsi="Arial" w:cs="Arial"/>
          <w:b/>
          <w:u w:val="single"/>
        </w:rPr>
        <w:t>Assessment</w:t>
      </w:r>
    </w:p>
    <w:p w14:paraId="41C2BAB6" w14:textId="2C4E85C3" w:rsidR="002E0B68" w:rsidRDefault="00A33205">
      <w:pPr>
        <w:rPr>
          <w:rFonts w:ascii="Arial" w:hAnsi="Arial" w:cs="Arial"/>
        </w:rPr>
      </w:pPr>
      <w:r>
        <w:rPr>
          <w:rFonts w:ascii="Arial" w:hAnsi="Arial" w:cs="Arial"/>
        </w:rPr>
        <w:t xml:space="preserve">The detailed Heritage Statement produced by Archaeology Collective, has thoroughly assessed the potential impact on the significance of adjacent and nearby heritage assets and concluded that there will be minimal impact to these heritage assets </w:t>
      </w:r>
      <w:proofErr w:type="gramStart"/>
      <w:r>
        <w:rPr>
          <w:rFonts w:ascii="Arial" w:hAnsi="Arial" w:cs="Arial"/>
        </w:rPr>
        <w:t>as a result of</w:t>
      </w:r>
      <w:proofErr w:type="gramEnd"/>
      <w:r>
        <w:rPr>
          <w:rFonts w:ascii="Arial" w:hAnsi="Arial" w:cs="Arial"/>
        </w:rPr>
        <w:t xml:space="preserve"> the change of use. I am minded </w:t>
      </w:r>
      <w:proofErr w:type="gramStart"/>
      <w:r>
        <w:rPr>
          <w:rFonts w:ascii="Arial" w:hAnsi="Arial" w:cs="Arial"/>
        </w:rPr>
        <w:t>to agree</w:t>
      </w:r>
      <w:proofErr w:type="gramEnd"/>
      <w:r>
        <w:rPr>
          <w:rFonts w:ascii="Arial" w:hAnsi="Arial" w:cs="Arial"/>
        </w:rPr>
        <w:t xml:space="preserve"> with the findings of this </w:t>
      </w:r>
      <w:r w:rsidR="006B598C">
        <w:rPr>
          <w:rFonts w:ascii="Arial" w:hAnsi="Arial" w:cs="Arial"/>
        </w:rPr>
        <w:t>assessment</w:t>
      </w:r>
      <w:r>
        <w:rPr>
          <w:rFonts w:ascii="Arial" w:hAnsi="Arial" w:cs="Arial"/>
        </w:rPr>
        <w:t xml:space="preserve"> and am </w:t>
      </w:r>
      <w:r w:rsidR="006B598C">
        <w:rPr>
          <w:rFonts w:ascii="Arial" w:hAnsi="Arial" w:cs="Arial"/>
        </w:rPr>
        <w:t>satisfied</w:t>
      </w:r>
      <w:r>
        <w:rPr>
          <w:rFonts w:ascii="Arial" w:hAnsi="Arial" w:cs="Arial"/>
        </w:rPr>
        <w:t xml:space="preserve"> that </w:t>
      </w:r>
      <w:r w:rsidR="006B598C">
        <w:rPr>
          <w:rFonts w:ascii="Arial" w:hAnsi="Arial" w:cs="Arial"/>
        </w:rPr>
        <w:t>the proposal accords with the relevant national and local planning policies.</w:t>
      </w:r>
    </w:p>
    <w:p w14:paraId="5B6E5A29" w14:textId="6210CC1C" w:rsidR="006B598C" w:rsidRDefault="006B598C">
      <w:pPr>
        <w:rPr>
          <w:rFonts w:ascii="Arial" w:hAnsi="Arial" w:cs="Arial"/>
          <w:b/>
          <w:u w:val="single"/>
        </w:rPr>
      </w:pPr>
      <w:r>
        <w:rPr>
          <w:rFonts w:ascii="Arial" w:hAnsi="Arial" w:cs="Arial"/>
          <w:b/>
          <w:u w:val="single"/>
        </w:rPr>
        <w:lastRenderedPageBreak/>
        <w:t xml:space="preserve">Conclusion </w:t>
      </w:r>
    </w:p>
    <w:p w14:paraId="27913BC7" w14:textId="2E3881A2" w:rsidR="006B598C" w:rsidRDefault="006B598C">
      <w:pPr>
        <w:rPr>
          <w:rFonts w:ascii="Arial" w:hAnsi="Arial" w:cs="Arial"/>
        </w:rPr>
      </w:pPr>
      <w:r w:rsidRPr="006B598C">
        <w:rPr>
          <w:rFonts w:ascii="Arial" w:hAnsi="Arial" w:cs="Arial"/>
        </w:rPr>
        <w:t xml:space="preserve">No objection </w:t>
      </w:r>
      <w:r>
        <w:rPr>
          <w:rFonts w:ascii="Arial" w:hAnsi="Arial" w:cs="Arial"/>
        </w:rPr>
        <w:t xml:space="preserve">raised. </w:t>
      </w:r>
    </w:p>
    <w:p w14:paraId="17D7956B" w14:textId="177E02FF" w:rsidR="006B598C" w:rsidRDefault="006B598C">
      <w:pPr>
        <w:rPr>
          <w:rFonts w:ascii="Arial" w:hAnsi="Arial" w:cs="Arial"/>
        </w:rPr>
      </w:pPr>
      <w:r>
        <w:rPr>
          <w:rFonts w:ascii="Arial" w:hAnsi="Arial" w:cs="Arial"/>
        </w:rPr>
        <w:t xml:space="preserve">Rachael McMurray </w:t>
      </w:r>
    </w:p>
    <w:p w14:paraId="58459F64" w14:textId="64CD86BD" w:rsidR="006B598C" w:rsidRPr="006B598C" w:rsidRDefault="006B598C">
      <w:pPr>
        <w:rPr>
          <w:rFonts w:ascii="Arial" w:hAnsi="Arial" w:cs="Arial"/>
        </w:rPr>
      </w:pPr>
      <w:r>
        <w:rPr>
          <w:rFonts w:ascii="Arial" w:hAnsi="Arial" w:cs="Arial"/>
        </w:rPr>
        <w:t>Conservation Officer</w:t>
      </w:r>
    </w:p>
    <w:sectPr w:rsidR="006B598C" w:rsidRPr="006B59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10"/>
    <w:rsid w:val="00180674"/>
    <w:rsid w:val="001C44AB"/>
    <w:rsid w:val="00247EA3"/>
    <w:rsid w:val="00275D25"/>
    <w:rsid w:val="002E0B68"/>
    <w:rsid w:val="00377179"/>
    <w:rsid w:val="0038122B"/>
    <w:rsid w:val="003B1ADA"/>
    <w:rsid w:val="004013D4"/>
    <w:rsid w:val="004067E4"/>
    <w:rsid w:val="00434F34"/>
    <w:rsid w:val="00446744"/>
    <w:rsid w:val="0046433B"/>
    <w:rsid w:val="0050057B"/>
    <w:rsid w:val="005C4710"/>
    <w:rsid w:val="006A5850"/>
    <w:rsid w:val="006B598C"/>
    <w:rsid w:val="008374D5"/>
    <w:rsid w:val="009719F6"/>
    <w:rsid w:val="00A33205"/>
    <w:rsid w:val="00B033A2"/>
    <w:rsid w:val="00BD302B"/>
    <w:rsid w:val="00BF1484"/>
    <w:rsid w:val="00D9027B"/>
    <w:rsid w:val="00FA5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8135"/>
  <w15:chartTrackingRefBased/>
  <w15:docId w15:val="{1EF119DF-FA95-468E-98D8-855A1D978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0057B"/>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McMurray, Rachael</cp:lastModifiedBy>
  <cp:revision>2</cp:revision>
  <dcterms:created xsi:type="dcterms:W3CDTF">2020-02-13T15:19:00Z</dcterms:created>
  <dcterms:modified xsi:type="dcterms:W3CDTF">2020-02-13T15:19:00Z</dcterms:modified>
</cp:coreProperties>
</file>