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834D5" w14:textId="1CB5A1F7" w:rsidR="00276662" w:rsidRPr="00434F34" w:rsidRDefault="005C4710">
      <w:pPr>
        <w:rPr>
          <w:sz w:val="24"/>
          <w:szCs w:val="24"/>
        </w:rPr>
      </w:pPr>
      <w:r w:rsidRPr="00434F34">
        <w:rPr>
          <w:sz w:val="24"/>
          <w:szCs w:val="24"/>
        </w:rPr>
        <w:t xml:space="preserve">Principal Conservation Officer – Objection </w:t>
      </w:r>
    </w:p>
    <w:p w14:paraId="76E13155" w14:textId="2836340F" w:rsidR="005C4710" w:rsidRPr="00434F34" w:rsidRDefault="005C4710">
      <w:pPr>
        <w:rPr>
          <w:sz w:val="24"/>
          <w:szCs w:val="24"/>
        </w:rPr>
      </w:pPr>
      <w:r w:rsidRPr="00434F34">
        <w:rPr>
          <w:sz w:val="24"/>
          <w:szCs w:val="24"/>
        </w:rPr>
        <w:t>Site</w:t>
      </w:r>
    </w:p>
    <w:p w14:paraId="6741E9E3" w14:textId="323A6EB4" w:rsidR="009719F6" w:rsidRPr="00434F34" w:rsidRDefault="009719F6">
      <w:pPr>
        <w:rPr>
          <w:sz w:val="24"/>
          <w:szCs w:val="24"/>
        </w:rPr>
      </w:pPr>
      <w:r w:rsidRPr="00434F34">
        <w:rPr>
          <w:sz w:val="24"/>
          <w:szCs w:val="24"/>
        </w:rPr>
        <w:t>15 King Street dates from the early 19</w:t>
      </w:r>
      <w:r w:rsidRPr="00434F34">
        <w:rPr>
          <w:sz w:val="24"/>
          <w:szCs w:val="24"/>
          <w:vertAlign w:val="superscript"/>
        </w:rPr>
        <w:t>th</w:t>
      </w:r>
      <w:r w:rsidRPr="00434F34">
        <w:rPr>
          <w:sz w:val="24"/>
          <w:szCs w:val="24"/>
        </w:rPr>
        <w:t xml:space="preserve"> century and is Grade II listed. It has a symmetrical appearance to the front and a catslide roof to the rear which has</w:t>
      </w:r>
      <w:r w:rsidR="00434F34" w:rsidRPr="00434F34">
        <w:rPr>
          <w:sz w:val="24"/>
          <w:szCs w:val="24"/>
        </w:rPr>
        <w:t xml:space="preserve"> been alerted with the addition of</w:t>
      </w:r>
      <w:r w:rsidRPr="00434F34">
        <w:rPr>
          <w:sz w:val="24"/>
          <w:szCs w:val="24"/>
        </w:rPr>
        <w:t xml:space="preserve"> some modern dormers</w:t>
      </w:r>
      <w:r w:rsidR="00434F34" w:rsidRPr="00434F34">
        <w:rPr>
          <w:sz w:val="24"/>
          <w:szCs w:val="24"/>
        </w:rPr>
        <w:t>. It is constructed with blue header walls with read flush dressings, brick dentil eaves and a clay tile roof. The property is also located within the Emsworth Conservation Area.</w:t>
      </w:r>
    </w:p>
    <w:p w14:paraId="15A027AE" w14:textId="43844F60" w:rsidR="005C4710" w:rsidRPr="00180674" w:rsidRDefault="00434F34">
      <w:pPr>
        <w:rPr>
          <w:rFonts w:cs="Helvetica"/>
          <w:sz w:val="24"/>
          <w:szCs w:val="24"/>
        </w:rPr>
      </w:pPr>
      <w:r w:rsidRPr="00434F34">
        <w:rPr>
          <w:rFonts w:cs="Helvetica"/>
          <w:sz w:val="24"/>
          <w:szCs w:val="24"/>
        </w:rPr>
        <w:t>The proposal seeks permission for a rear extension.</w:t>
      </w:r>
    </w:p>
    <w:p w14:paraId="40C93755" w14:textId="60C315F2" w:rsid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r>
        <w:rPr>
          <w:rFonts w:ascii="Calibri" w:eastAsia="Calibri" w:hAnsi="Calibri" w:cs="Arial"/>
          <w:sz w:val="24"/>
          <w:szCs w:val="24"/>
        </w:rPr>
        <w:t>Policy</w:t>
      </w:r>
    </w:p>
    <w:p w14:paraId="313B74F4" w14:textId="77777777" w:rsid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p>
    <w:p w14:paraId="51F4A633" w14:textId="025C7D31" w:rsidR="005C4710" w:rsidRPr="005C4710" w:rsidRDefault="005C4710" w:rsidP="005C4710">
      <w:pPr>
        <w:tabs>
          <w:tab w:val="left" w:pos="9072"/>
        </w:tabs>
        <w:autoSpaceDE w:val="0"/>
        <w:autoSpaceDN w:val="0"/>
        <w:adjustRightInd w:val="0"/>
        <w:spacing w:after="0" w:line="240" w:lineRule="auto"/>
        <w:rPr>
          <w:rFonts w:ascii="Calibri" w:eastAsia="Calibri" w:hAnsi="Calibri" w:cs="Arial"/>
          <w:iCs/>
          <w:sz w:val="24"/>
          <w:szCs w:val="24"/>
        </w:rPr>
      </w:pPr>
      <w:r w:rsidRPr="005C4710">
        <w:rPr>
          <w:rFonts w:ascii="Calibri" w:eastAsia="Calibri" w:hAnsi="Calibri" w:cs="Arial"/>
          <w:sz w:val="24"/>
          <w:szCs w:val="24"/>
        </w:rPr>
        <w:t xml:space="preserve">The National Planning Policy Framework (NPPF) was published in March 2012 and sets down the policies that the Council must </w:t>
      </w:r>
      <w:proofErr w:type="gramStart"/>
      <w:r w:rsidRPr="005C4710">
        <w:rPr>
          <w:rFonts w:ascii="Calibri" w:eastAsia="Calibri" w:hAnsi="Calibri" w:cs="Arial"/>
          <w:sz w:val="24"/>
          <w:szCs w:val="24"/>
        </w:rPr>
        <w:t>take into account</w:t>
      </w:r>
      <w:proofErr w:type="gramEnd"/>
      <w:r w:rsidRPr="005C4710">
        <w:rPr>
          <w:rFonts w:ascii="Calibri" w:eastAsia="Calibri" w:hAnsi="Calibri" w:cs="Arial"/>
          <w:sz w:val="24"/>
          <w:szCs w:val="24"/>
        </w:rPr>
        <w:t xml:space="preserve"> when determining planning applications. This supersedes </w:t>
      </w:r>
      <w:smartTag w:uri="urn:schemas-microsoft-com:office:smarttags" w:element="stockticker">
        <w:r w:rsidRPr="005C4710">
          <w:rPr>
            <w:rFonts w:ascii="Calibri" w:eastAsia="Calibri" w:hAnsi="Calibri" w:cs="Arial"/>
            <w:sz w:val="24"/>
            <w:szCs w:val="24"/>
          </w:rPr>
          <w:t>PPS</w:t>
        </w:r>
      </w:smartTag>
      <w:r w:rsidRPr="005C4710">
        <w:rPr>
          <w:rFonts w:ascii="Calibri" w:eastAsia="Calibri" w:hAnsi="Calibri" w:cs="Arial"/>
          <w:sz w:val="24"/>
          <w:szCs w:val="24"/>
        </w:rPr>
        <w:t xml:space="preserve"> 5, however, English Heritage (web-site </w:t>
      </w:r>
      <w:smartTag w:uri="urn:schemas-microsoft-com:office:smarttags" w:element="date">
        <w:smartTagPr>
          <w:attr w:name="Year" w:val="2012"/>
          <w:attr w:name="Day" w:val="23"/>
          <w:attr w:name="Month" w:val="4"/>
        </w:smartTagPr>
        <w:r w:rsidRPr="005C4710">
          <w:rPr>
            <w:rFonts w:ascii="Calibri" w:eastAsia="Calibri" w:hAnsi="Calibri" w:cs="Arial"/>
            <w:sz w:val="24"/>
            <w:szCs w:val="24"/>
          </w:rPr>
          <w:t>23 April 2012</w:t>
        </w:r>
      </w:smartTag>
      <w:r w:rsidRPr="005C4710">
        <w:rPr>
          <w:rFonts w:ascii="Calibri" w:eastAsia="Calibri" w:hAnsi="Calibri" w:cs="Arial"/>
          <w:sz w:val="24"/>
          <w:szCs w:val="24"/>
        </w:rPr>
        <w:t>) advises</w:t>
      </w:r>
      <w:r w:rsidRPr="005C4710">
        <w:rPr>
          <w:rFonts w:ascii="Calibri" w:eastAsia="Calibri" w:hAnsi="Calibri" w:cs="Arial"/>
          <w:i/>
          <w:iCs/>
          <w:sz w:val="24"/>
          <w:szCs w:val="24"/>
        </w:rPr>
        <w:t xml:space="preserve"> </w:t>
      </w:r>
      <w:r w:rsidRPr="005C4710">
        <w:rPr>
          <w:rFonts w:ascii="Calibri" w:eastAsia="Calibri" w:hAnsi="Calibri" w:cs="Arial"/>
          <w:iCs/>
          <w:sz w:val="24"/>
          <w:szCs w:val="24"/>
        </w:rPr>
        <w:t>that the Practice Guide (HEPPG) remains a valid and Government endorsed document pending Government's review of guidance supporting national planning policy as set out in its response to the select Committee”.</w:t>
      </w:r>
    </w:p>
    <w:p w14:paraId="3198D522"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iCs/>
          <w:sz w:val="24"/>
          <w:szCs w:val="24"/>
        </w:rPr>
      </w:pPr>
    </w:p>
    <w:p w14:paraId="4F3554B0"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r w:rsidRPr="005C4710">
        <w:rPr>
          <w:rFonts w:ascii="Calibri" w:eastAsia="Calibri" w:hAnsi="Calibri" w:cs="Arial"/>
          <w:sz w:val="24"/>
          <w:szCs w:val="24"/>
        </w:rPr>
        <w:t xml:space="preserve">The NPPF sets out, in paragraph 17, the 12 core planning principles that local planning authorities should consider in making planning decisions. One of these core principles relates directly to conserving heritage assets, as follows </w:t>
      </w:r>
    </w:p>
    <w:p w14:paraId="4BFECDE3"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p>
    <w:p w14:paraId="092D512A"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r w:rsidRPr="005C4710">
        <w:rPr>
          <w:rFonts w:ascii="Calibri" w:eastAsia="Calibri" w:hAnsi="Calibri" w:cs="Arial"/>
          <w:sz w:val="24"/>
          <w:szCs w:val="24"/>
        </w:rPr>
        <w:t>“planning should conserve heritage assets in a manner appropriate to their significance, so that they can be enjoyed for their contribution to the quality of life of this and future generations;”</w:t>
      </w:r>
    </w:p>
    <w:p w14:paraId="2A8F679D"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iCs/>
          <w:sz w:val="24"/>
          <w:szCs w:val="24"/>
        </w:rPr>
      </w:pPr>
    </w:p>
    <w:p w14:paraId="5A86C415"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r w:rsidRPr="005C4710">
        <w:rPr>
          <w:rFonts w:ascii="Calibri" w:eastAsia="Calibri" w:hAnsi="Calibri" w:cs="Arial"/>
          <w:sz w:val="24"/>
          <w:szCs w:val="24"/>
        </w:rPr>
        <w:t>Paragraph 132 of the National Planning Policy Framework states that when considering the impact of a proposed development on the significance of a designated heritage asset, great weight should be given to the asset`s conservation. It also goes on to state that significance can be harmed or lost through alteration or destruction of the heritage asset or development within its setting. As heritage assets are irreplaceable, any harm or loss should require clear and convincing justification. Paragraph 133 provides guidance in relation to development proposals that cause 'substantial harm'. While, paragraph 134 of the National Planning Policy states that where a development will lead to 'less than substantial harm' to the significance of a designated heritage asset, this harm should be weighed against the public benefits of the proposal.</w:t>
      </w:r>
    </w:p>
    <w:p w14:paraId="7F1D2F7E"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p>
    <w:p w14:paraId="1DB3FB1F" w14:textId="77777777" w:rsidR="005C4710" w:rsidRPr="005C4710" w:rsidRDefault="005C4710" w:rsidP="005C4710">
      <w:pPr>
        <w:tabs>
          <w:tab w:val="left" w:pos="9072"/>
        </w:tabs>
        <w:autoSpaceDE w:val="0"/>
        <w:autoSpaceDN w:val="0"/>
        <w:adjustRightInd w:val="0"/>
        <w:spacing w:after="0" w:line="240" w:lineRule="auto"/>
        <w:rPr>
          <w:rFonts w:ascii="Calibri" w:eastAsia="Calibri" w:hAnsi="Calibri" w:cs="Arial"/>
          <w:sz w:val="24"/>
          <w:szCs w:val="24"/>
        </w:rPr>
      </w:pPr>
      <w:r w:rsidRPr="005C4710">
        <w:rPr>
          <w:rFonts w:ascii="Calibri" w:eastAsia="Calibri" w:hAnsi="Calibri" w:cs="Arial"/>
          <w:sz w:val="24"/>
          <w:szCs w:val="24"/>
        </w:rPr>
        <w:t xml:space="preserve">Paragraph 64 (Section 7 – Requiring Good Design) is also particularly relevant to this case in that development should be refused for development of poor design that fails to take the opportunities available for </w:t>
      </w:r>
      <w:r w:rsidRPr="005C4710">
        <w:rPr>
          <w:rFonts w:ascii="Calibri" w:eastAsia="Calibri" w:hAnsi="Calibri" w:cs="Arial"/>
          <w:b/>
          <w:sz w:val="24"/>
          <w:szCs w:val="24"/>
        </w:rPr>
        <w:t>improving</w:t>
      </w:r>
      <w:r w:rsidRPr="005C4710">
        <w:rPr>
          <w:rFonts w:ascii="Calibri" w:eastAsia="Calibri" w:hAnsi="Calibri" w:cs="Arial"/>
          <w:sz w:val="24"/>
          <w:szCs w:val="24"/>
        </w:rPr>
        <w:t xml:space="preserve"> the character and quality of an area and the way it functions.</w:t>
      </w:r>
    </w:p>
    <w:p w14:paraId="0763AB58" w14:textId="77777777" w:rsidR="005C4710" w:rsidRDefault="005C4710" w:rsidP="005C4710">
      <w:pPr>
        <w:spacing w:after="0" w:line="240" w:lineRule="auto"/>
      </w:pPr>
    </w:p>
    <w:p w14:paraId="227CE618" w14:textId="78F5C3C1" w:rsidR="005C4710" w:rsidRPr="005C4710" w:rsidRDefault="005C4710" w:rsidP="005C4710">
      <w:pPr>
        <w:spacing w:after="0" w:line="240" w:lineRule="auto"/>
        <w:rPr>
          <w:rFonts w:eastAsia="Times New Roman" w:cs="Arial"/>
          <w:bCs/>
          <w:sz w:val="24"/>
          <w:szCs w:val="24"/>
        </w:rPr>
      </w:pPr>
      <w:r w:rsidRPr="005C4710">
        <w:rPr>
          <w:rFonts w:eastAsia="Times New Roman" w:cs="Arial"/>
          <w:sz w:val="24"/>
          <w:szCs w:val="24"/>
        </w:rPr>
        <w:t xml:space="preserve">Policy CS11 of the Core Strategy states that </w:t>
      </w:r>
      <w:r w:rsidRPr="005C4710">
        <w:rPr>
          <w:rFonts w:eastAsia="Times New Roman" w:cs="Arial"/>
          <w:bCs/>
          <w:sz w:val="24"/>
          <w:szCs w:val="24"/>
        </w:rPr>
        <w:t>planning permission will be granted for development that:</w:t>
      </w:r>
    </w:p>
    <w:p w14:paraId="2C93ECEE" w14:textId="77777777" w:rsidR="005C4710" w:rsidRPr="005C4710" w:rsidRDefault="005C4710" w:rsidP="005C4710">
      <w:pPr>
        <w:spacing w:after="0" w:line="240" w:lineRule="auto"/>
        <w:rPr>
          <w:rFonts w:eastAsia="Times New Roman" w:cs="Arial"/>
          <w:bCs/>
          <w:sz w:val="24"/>
          <w:szCs w:val="24"/>
        </w:rPr>
      </w:pPr>
    </w:p>
    <w:p w14:paraId="41F52181" w14:textId="77777777" w:rsidR="005C4710" w:rsidRPr="005C4710" w:rsidRDefault="005C4710" w:rsidP="005C4710">
      <w:pPr>
        <w:spacing w:after="0" w:line="240" w:lineRule="auto"/>
        <w:rPr>
          <w:rFonts w:eastAsia="Times New Roman" w:cs="Arial"/>
          <w:sz w:val="24"/>
          <w:szCs w:val="24"/>
        </w:rPr>
      </w:pPr>
      <w:r w:rsidRPr="005C4710">
        <w:rPr>
          <w:rFonts w:eastAsia="Times New Roman" w:cs="Arial"/>
          <w:sz w:val="24"/>
          <w:szCs w:val="24"/>
        </w:rPr>
        <w:t xml:space="preserve">Protects and where appropriate enhances the borough’s statutory and </w:t>
      </w:r>
      <w:proofErr w:type="spellStart"/>
      <w:proofErr w:type="gramStart"/>
      <w:r w:rsidRPr="005C4710">
        <w:rPr>
          <w:rFonts w:eastAsia="Times New Roman" w:cs="Arial"/>
          <w:sz w:val="24"/>
          <w:szCs w:val="24"/>
        </w:rPr>
        <w:t>non statutory</w:t>
      </w:r>
      <w:proofErr w:type="spellEnd"/>
      <w:proofErr w:type="gramEnd"/>
      <w:r w:rsidRPr="005C4710">
        <w:rPr>
          <w:rFonts w:eastAsia="Times New Roman" w:cs="Arial"/>
          <w:sz w:val="24"/>
          <w:szCs w:val="24"/>
        </w:rPr>
        <w:t xml:space="preserve"> heritage designations by appropriately managing development in or adjacent to conservation areas, listed buildings, scheduled ancient monuments, historic parks and gardens, archaeological sites, buildings of local historic or architectural interest.</w:t>
      </w:r>
    </w:p>
    <w:p w14:paraId="741330CB" w14:textId="77777777" w:rsidR="005C4710" w:rsidRPr="005C4710" w:rsidRDefault="005C4710" w:rsidP="005C4710">
      <w:pPr>
        <w:spacing w:after="0" w:line="240" w:lineRule="auto"/>
        <w:rPr>
          <w:rFonts w:eastAsia="Times New Roman" w:cs="Arial"/>
          <w:sz w:val="24"/>
          <w:szCs w:val="24"/>
        </w:rPr>
      </w:pPr>
    </w:p>
    <w:p w14:paraId="1F43E145" w14:textId="77777777" w:rsidR="005C4710" w:rsidRPr="005C4710" w:rsidRDefault="005C4710" w:rsidP="005C4710">
      <w:pPr>
        <w:spacing w:after="0" w:line="240" w:lineRule="auto"/>
        <w:rPr>
          <w:rFonts w:eastAsia="Times New Roman" w:cs="Arial"/>
          <w:sz w:val="24"/>
          <w:szCs w:val="24"/>
        </w:rPr>
      </w:pPr>
      <w:r w:rsidRPr="005C4710">
        <w:rPr>
          <w:rFonts w:eastAsia="Times New Roman" w:cs="Arial"/>
          <w:sz w:val="24"/>
          <w:szCs w:val="24"/>
        </w:rPr>
        <w:lastRenderedPageBreak/>
        <w:t xml:space="preserve">Policy CP16 (1a) of the Core Strategy </w:t>
      </w:r>
      <w:proofErr w:type="gramStart"/>
      <w:r w:rsidRPr="005C4710">
        <w:rPr>
          <w:rFonts w:eastAsia="Times New Roman" w:cs="Arial"/>
          <w:sz w:val="24"/>
          <w:szCs w:val="24"/>
        </w:rPr>
        <w:t>states</w:t>
      </w:r>
      <w:proofErr w:type="gramEnd"/>
      <w:r w:rsidRPr="005C4710">
        <w:rPr>
          <w:rFonts w:eastAsia="Times New Roman" w:cs="Arial"/>
          <w:sz w:val="24"/>
          <w:szCs w:val="24"/>
        </w:rPr>
        <w:t xml:space="preserve"> Planning permission will be granted for development that is designed to a high standard, which helps to create places where people want to live, work and relax. All development should demonstrate that its design:</w:t>
      </w:r>
    </w:p>
    <w:p w14:paraId="0A25E1EC" w14:textId="77777777" w:rsidR="005C4710" w:rsidRPr="005C4710" w:rsidRDefault="005C4710" w:rsidP="005C4710">
      <w:pPr>
        <w:spacing w:after="0" w:line="240" w:lineRule="auto"/>
        <w:rPr>
          <w:rFonts w:eastAsia="Times New Roman" w:cs="Arial"/>
          <w:sz w:val="24"/>
          <w:szCs w:val="24"/>
        </w:rPr>
      </w:pPr>
    </w:p>
    <w:p w14:paraId="6A58C3A5" w14:textId="77777777" w:rsidR="005C4710" w:rsidRPr="005C4710" w:rsidRDefault="005C4710" w:rsidP="005C4710">
      <w:pPr>
        <w:spacing w:after="0" w:line="240" w:lineRule="auto"/>
        <w:rPr>
          <w:rFonts w:eastAsia="Times New Roman" w:cs="Arial"/>
          <w:sz w:val="24"/>
          <w:szCs w:val="24"/>
        </w:rPr>
      </w:pPr>
      <w:r w:rsidRPr="005C4710">
        <w:rPr>
          <w:rFonts w:eastAsia="Times New Roman" w:cs="Arial"/>
          <w:sz w:val="24"/>
          <w:szCs w:val="24"/>
        </w:rPr>
        <w:t>Identifies and responds positively to existing features of natural, historic or local character within or close to the proposed development site.</w:t>
      </w:r>
    </w:p>
    <w:p w14:paraId="6A567186" w14:textId="77777777" w:rsidR="005C4710" w:rsidRPr="005C4710" w:rsidRDefault="005C4710" w:rsidP="005C4710">
      <w:pPr>
        <w:spacing w:after="0" w:line="240" w:lineRule="auto"/>
        <w:ind w:left="360"/>
        <w:rPr>
          <w:rFonts w:eastAsia="Times New Roman" w:cs="Arial"/>
          <w:sz w:val="24"/>
          <w:szCs w:val="24"/>
        </w:rPr>
      </w:pPr>
    </w:p>
    <w:p w14:paraId="114E00B1" w14:textId="77777777" w:rsidR="005C4710" w:rsidRPr="005C4710" w:rsidRDefault="005C4710" w:rsidP="005C4710">
      <w:pPr>
        <w:spacing w:after="0" w:line="240" w:lineRule="auto"/>
        <w:rPr>
          <w:rFonts w:eastAsia="Times New Roman" w:cs="Arial"/>
          <w:sz w:val="24"/>
          <w:szCs w:val="24"/>
        </w:rPr>
      </w:pPr>
      <w:r w:rsidRPr="005C4710">
        <w:rPr>
          <w:rFonts w:eastAsia="Times New Roman" w:cs="Arial"/>
          <w:sz w:val="24"/>
          <w:szCs w:val="24"/>
        </w:rPr>
        <w:t xml:space="preserve">Policy DM20 of the Allocations Plan states that development proposals must conserve and enhance the historic assets of Havant </w:t>
      </w:r>
    </w:p>
    <w:p w14:paraId="787D4610" w14:textId="77777777" w:rsidR="005C4710" w:rsidRPr="005C4710" w:rsidRDefault="005C4710" w:rsidP="005C4710">
      <w:pPr>
        <w:spacing w:after="0" w:line="240" w:lineRule="auto"/>
        <w:rPr>
          <w:rFonts w:eastAsia="Times New Roman" w:cs="Arial"/>
          <w:sz w:val="24"/>
          <w:szCs w:val="24"/>
        </w:rPr>
      </w:pPr>
    </w:p>
    <w:p w14:paraId="2CDFD862" w14:textId="3FB6F565" w:rsidR="005C4710" w:rsidRPr="00434F34" w:rsidRDefault="005C4710">
      <w:pPr>
        <w:rPr>
          <w:rFonts w:ascii="Calibri" w:hAnsi="Calibri"/>
          <w:sz w:val="24"/>
          <w:szCs w:val="24"/>
        </w:rPr>
      </w:pPr>
      <w:r w:rsidRPr="00434F34">
        <w:rPr>
          <w:rFonts w:ascii="Calibri" w:hAnsi="Calibri"/>
          <w:sz w:val="24"/>
          <w:szCs w:val="24"/>
        </w:rPr>
        <w:t>Assessment</w:t>
      </w:r>
    </w:p>
    <w:p w14:paraId="6C92FECD" w14:textId="53A48DEB" w:rsidR="005C4710" w:rsidRPr="00434F34" w:rsidRDefault="005C4710" w:rsidP="005C4710">
      <w:pPr>
        <w:rPr>
          <w:rFonts w:ascii="Calibri" w:hAnsi="Calibri"/>
          <w:sz w:val="24"/>
          <w:szCs w:val="24"/>
        </w:rPr>
      </w:pPr>
      <w:r w:rsidRPr="00434F34">
        <w:rPr>
          <w:rFonts w:ascii="Calibri" w:hAnsi="Calibri"/>
          <w:sz w:val="24"/>
          <w:szCs w:val="24"/>
        </w:rPr>
        <w:t xml:space="preserve">It is considered that the proposed flat roof would represent a crude addition to the listed building which would detract from the character of the listed building. It is essential especially on a property of this architectural quality that the detail of the design is well considered and applied. In this case the extension does not respect the character of the original listed building. While it is appreciated the rear of the building is a private view, the character and special interest is not confined to the street frontage. Listed buildings are viewed in the round and it is necessary to assess significance in relation to all proposals. The visual impact forms part of that significance. </w:t>
      </w:r>
    </w:p>
    <w:p w14:paraId="774BED4A" w14:textId="7A933830" w:rsidR="005C4710" w:rsidRPr="00434F34" w:rsidRDefault="005C4710" w:rsidP="005C4710">
      <w:pPr>
        <w:rPr>
          <w:rFonts w:ascii="Calibri" w:hAnsi="Calibri"/>
          <w:sz w:val="24"/>
          <w:szCs w:val="24"/>
        </w:rPr>
      </w:pPr>
      <w:r w:rsidRPr="00434F34">
        <w:rPr>
          <w:rFonts w:ascii="Calibri" w:hAnsi="Calibri"/>
          <w:sz w:val="24"/>
          <w:szCs w:val="24"/>
        </w:rPr>
        <w:t xml:space="preserve">It is also considered that the amount of rear wall which will </w:t>
      </w:r>
      <w:proofErr w:type="gramStart"/>
      <w:r w:rsidRPr="00434F34">
        <w:rPr>
          <w:rFonts w:ascii="Calibri" w:hAnsi="Calibri"/>
          <w:sz w:val="24"/>
          <w:szCs w:val="24"/>
        </w:rPr>
        <w:t>open up</w:t>
      </w:r>
      <w:proofErr w:type="gramEnd"/>
      <w:r w:rsidRPr="00434F34">
        <w:rPr>
          <w:rFonts w:ascii="Calibri" w:hAnsi="Calibri"/>
          <w:sz w:val="24"/>
          <w:szCs w:val="24"/>
        </w:rPr>
        <w:t xml:space="preserve"> the accommodation is over and above what would normally be acceptable. This wall delineates the rear elevation of the </w:t>
      </w:r>
      <w:r w:rsidR="003B1ADA" w:rsidRPr="00434F34">
        <w:rPr>
          <w:rFonts w:ascii="Calibri" w:hAnsi="Calibri"/>
          <w:sz w:val="24"/>
          <w:szCs w:val="24"/>
        </w:rPr>
        <w:t xml:space="preserve">properties </w:t>
      </w:r>
      <w:r w:rsidRPr="00434F34">
        <w:rPr>
          <w:rFonts w:ascii="Calibri" w:hAnsi="Calibri"/>
          <w:sz w:val="24"/>
          <w:szCs w:val="24"/>
        </w:rPr>
        <w:t xml:space="preserve">historic core </w:t>
      </w:r>
      <w:r w:rsidR="003B1ADA" w:rsidRPr="00434F34">
        <w:rPr>
          <w:rFonts w:ascii="Calibri" w:hAnsi="Calibri"/>
          <w:sz w:val="24"/>
          <w:szCs w:val="24"/>
        </w:rPr>
        <w:t>and its loss will alter the plan form (two rooms to front and two to the rear) of the dwelling to its detriment. No mention has also been given in relation to the well which sits very close to the rear wall. I can only assume as part of the proposals the well is to be filled in and lost? Again, this would harm the historic significance of the building.</w:t>
      </w:r>
    </w:p>
    <w:p w14:paraId="6A09D465" w14:textId="725424A0" w:rsidR="009719F6" w:rsidRPr="00434F34" w:rsidRDefault="003B1ADA" w:rsidP="009719F6">
      <w:pPr>
        <w:rPr>
          <w:rFonts w:ascii="Calibri" w:hAnsi="Calibri"/>
          <w:sz w:val="24"/>
          <w:szCs w:val="24"/>
        </w:rPr>
      </w:pPr>
      <w:r w:rsidRPr="00434F34">
        <w:rPr>
          <w:rFonts w:ascii="Calibri" w:hAnsi="Calibri"/>
          <w:sz w:val="24"/>
          <w:szCs w:val="24"/>
        </w:rPr>
        <w:t xml:space="preserve">I can not see an easy way to extend this property at this point. As a suggestion could the garaging not be converted into residential accommodation with the wall separating the two </w:t>
      </w:r>
      <w:proofErr w:type="gramStart"/>
      <w:r w:rsidRPr="00434F34">
        <w:rPr>
          <w:rFonts w:ascii="Calibri" w:hAnsi="Calibri"/>
          <w:sz w:val="24"/>
          <w:szCs w:val="24"/>
        </w:rPr>
        <w:t>opened up</w:t>
      </w:r>
      <w:proofErr w:type="gramEnd"/>
      <w:r w:rsidRPr="00434F34">
        <w:rPr>
          <w:rFonts w:ascii="Calibri" w:hAnsi="Calibri"/>
          <w:sz w:val="24"/>
          <w:szCs w:val="24"/>
        </w:rPr>
        <w:t xml:space="preserve">? </w:t>
      </w:r>
      <w:r w:rsidR="009719F6" w:rsidRPr="00434F34">
        <w:rPr>
          <w:rFonts w:ascii="Calibri" w:hAnsi="Calibri"/>
          <w:sz w:val="24"/>
          <w:szCs w:val="24"/>
        </w:rPr>
        <w:t>In this instance the harm would b</w:t>
      </w:r>
      <w:bookmarkStart w:id="0" w:name="_GoBack"/>
      <w:bookmarkEnd w:id="0"/>
      <w:r w:rsidR="009719F6" w:rsidRPr="00434F34">
        <w:rPr>
          <w:rFonts w:ascii="Calibri" w:hAnsi="Calibri"/>
          <w:sz w:val="24"/>
          <w:szCs w:val="24"/>
        </w:rPr>
        <w:t>e less than substantial.</w:t>
      </w:r>
      <w:r w:rsidRPr="00434F34">
        <w:rPr>
          <w:rFonts w:ascii="Calibri" w:hAnsi="Calibri"/>
          <w:sz w:val="24"/>
          <w:szCs w:val="24"/>
        </w:rPr>
        <w:t xml:space="preserve"> </w:t>
      </w:r>
      <w:r w:rsidR="009719F6" w:rsidRPr="00434F34">
        <w:rPr>
          <w:rFonts w:ascii="Calibri" w:hAnsi="Calibri"/>
          <w:sz w:val="24"/>
          <w:szCs w:val="24"/>
        </w:rPr>
        <w:t>In this context, the NPPF requires such harm to be weighed against the public benefits of the proposal. I cannot see any public benefits which would outweigh this harm.</w:t>
      </w:r>
    </w:p>
    <w:p w14:paraId="68F10865" w14:textId="77777777" w:rsidR="005C4710" w:rsidRPr="005C4710" w:rsidRDefault="005C4710">
      <w:pPr>
        <w:rPr>
          <w:rFonts w:ascii="Calibri" w:hAnsi="Calibri"/>
        </w:rPr>
      </w:pPr>
    </w:p>
    <w:sectPr w:rsidR="005C4710" w:rsidRPr="005C4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710"/>
    <w:rsid w:val="00180674"/>
    <w:rsid w:val="00377179"/>
    <w:rsid w:val="0038122B"/>
    <w:rsid w:val="003B1ADA"/>
    <w:rsid w:val="00434F34"/>
    <w:rsid w:val="005C4710"/>
    <w:rsid w:val="00971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1026"/>
    <o:shapelayout v:ext="edit">
      <o:idmap v:ext="edit" data="1"/>
    </o:shapelayout>
  </w:shapeDefaults>
  <w:decimalSymbol w:val="."/>
  <w:listSeparator w:val=","/>
  <w14:docId w14:val="42908135"/>
  <w15:chartTrackingRefBased/>
  <w15:docId w15:val="{1EF119DF-FA95-468E-98D8-855A1D978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Fellows, Peter</dc:creator>
  <cp:keywords/>
  <dc:description/>
  <cp:lastModifiedBy>Fellows, Peter</cp:lastModifiedBy>
  <cp:revision>2</cp:revision>
  <dcterms:created xsi:type="dcterms:W3CDTF">2018-03-08T10:11:00Z</dcterms:created>
  <dcterms:modified xsi:type="dcterms:W3CDTF">2018-03-08T10:48:00Z</dcterms:modified>
</cp:coreProperties>
</file>