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997" w:rsidRDefault="00A14997">
      <w:bookmarkStart w:id="0" w:name="_GoBack"/>
      <w:bookmarkEnd w:id="0"/>
      <w:r>
        <w:t>APP_17_01088</w:t>
      </w:r>
      <w:r w:rsidR="0008782A">
        <w:t>_PP</w:t>
      </w:r>
    </w:p>
    <w:p w:rsidR="00A14997" w:rsidRDefault="00A14997">
      <w:r>
        <w:t>The White Hart, East Street, Havant</w:t>
      </w:r>
    </w:p>
    <w:p w:rsidR="00A14997" w:rsidRDefault="00A14997">
      <w:r>
        <w:t>Conservation Officer Objection</w:t>
      </w:r>
    </w:p>
    <w:p w:rsidR="00A14997" w:rsidRDefault="00A14997">
      <w:pPr>
        <w:rPr>
          <w:b/>
        </w:rPr>
      </w:pPr>
      <w:r w:rsidRPr="00A14997">
        <w:rPr>
          <w:b/>
        </w:rPr>
        <w:t>Overview</w:t>
      </w:r>
    </w:p>
    <w:p w:rsidR="00A14997" w:rsidRPr="00CB3CE3" w:rsidRDefault="00CB3CE3">
      <w:r w:rsidRPr="00CB3CE3">
        <w:t>The White Hart is a grade II listed pub set in the heart of the St Faith’s Conservation area on the junction of E</w:t>
      </w:r>
      <w:r>
        <w:t>ast Street and N</w:t>
      </w:r>
      <w:r w:rsidRPr="00CB3CE3">
        <w:t>orth Street.</w:t>
      </w:r>
      <w:r>
        <w:t xml:space="preserve"> The former public House is listed due to it association with local architect Alfr</w:t>
      </w:r>
      <w:r w:rsidR="001C02AC">
        <w:t>ed Edwin</w:t>
      </w:r>
      <w:r>
        <w:t xml:space="preserve"> </w:t>
      </w:r>
      <w:proofErr w:type="spellStart"/>
      <w:r>
        <w:t>Stallard</w:t>
      </w:r>
      <w:proofErr w:type="spellEnd"/>
      <w:r>
        <w:t xml:space="preserve"> and an exuberant example of a late Victorian corner pub. The White Hart has group value with the War Memorial across the road also by </w:t>
      </w:r>
      <w:proofErr w:type="spellStart"/>
      <w:r>
        <w:t>Stallard</w:t>
      </w:r>
      <w:proofErr w:type="spellEnd"/>
      <w:r>
        <w:t xml:space="preserve"> and St Faith’s Church.</w:t>
      </w:r>
    </w:p>
    <w:p w:rsidR="00A14997" w:rsidRDefault="00A14997">
      <w:pPr>
        <w:rPr>
          <w:b/>
        </w:rPr>
      </w:pPr>
      <w:r>
        <w:rPr>
          <w:b/>
        </w:rPr>
        <w:t>Proposal</w:t>
      </w:r>
    </w:p>
    <w:p w:rsidR="00A14997" w:rsidRPr="00CB3CE3" w:rsidRDefault="00CB3CE3">
      <w:r w:rsidRPr="00CB3CE3">
        <w:t xml:space="preserve">The proposal </w:t>
      </w:r>
      <w:r>
        <w:t>is to convert the first and second floors into 4 No. 1 bed flats and 1 No. studio flat. The proposed scheme entails the removal of a numbers of internal walls at both first an</w:t>
      </w:r>
      <w:r w:rsidR="002C42D8">
        <w:t>d second floor levels,</w:t>
      </w:r>
      <w:r>
        <w:t xml:space="preserve"> substantial </w:t>
      </w:r>
      <w:r w:rsidR="002C42D8">
        <w:t>in-fill of the valleyed roof, as well as alterations to the rear elevation including the formation of a stack to enable services to upper floors.</w:t>
      </w:r>
    </w:p>
    <w:p w:rsidR="00A14997" w:rsidRDefault="00A14997">
      <w:pPr>
        <w:rPr>
          <w:b/>
        </w:rPr>
      </w:pPr>
      <w:r>
        <w:rPr>
          <w:b/>
        </w:rPr>
        <w:t>Policy and Legislative background</w:t>
      </w:r>
    </w:p>
    <w:p w:rsidR="002C42D8" w:rsidRPr="002C42D8" w:rsidRDefault="002C42D8" w:rsidP="002C42D8">
      <w:pPr>
        <w:rPr>
          <w:bCs/>
          <w:i/>
          <w:iCs/>
        </w:rPr>
      </w:pPr>
      <w:r w:rsidRPr="002C42D8">
        <w:rPr>
          <w:bCs/>
          <w:i/>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2C42D8" w:rsidRPr="002C42D8" w:rsidRDefault="002C42D8" w:rsidP="002C42D8">
      <w:r w:rsidRPr="002C42D8">
        <w:rPr>
          <w:bCs/>
          <w:i/>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rsidR="009651EC" w:rsidRDefault="009651EC" w:rsidP="009651EC">
      <w:r>
        <w:t>National Planning Policy Framework:</w:t>
      </w:r>
    </w:p>
    <w:p w:rsidR="009651EC" w:rsidRDefault="009651EC" w:rsidP="009651EC">
      <w:pPr>
        <w:rPr>
          <w:bCs/>
          <w:i/>
          <w:iCs/>
        </w:rPr>
      </w:pPr>
      <w:r w:rsidRPr="007A6584">
        <w:rPr>
          <w:bCs/>
          <w:i/>
          <w:iCs/>
        </w:rPr>
        <w:t>NPPF sets out, in paragraph 17 the 12 core planning principals that local planning authorities should consider in making decisions. One of these core principles relates directly to conserving heritage assets, as follows “Planning should conserve heritage assets in a manner appropriate to their significance, so that they can be enjoyed for their contribution to the quality of life of this and future generations”.</w:t>
      </w:r>
    </w:p>
    <w:p w:rsidR="009651EC" w:rsidRDefault="009651EC" w:rsidP="009651EC">
      <w:pPr>
        <w:rPr>
          <w:bCs/>
          <w:i/>
          <w:iCs/>
        </w:rPr>
      </w:pPr>
      <w:r>
        <w:rPr>
          <w:bCs/>
          <w:i/>
          <w:iCs/>
        </w:rPr>
        <w:t>Paragraph 64 permission should be refused for development of poor design that fails to take opportunities available for improving the character and quality of an area and the way it functions.</w:t>
      </w:r>
    </w:p>
    <w:p w:rsidR="002C42D8" w:rsidRDefault="009651EC" w:rsidP="009651EC">
      <w:pPr>
        <w:rPr>
          <w:bCs/>
          <w:i/>
          <w:iCs/>
        </w:rPr>
      </w:pPr>
      <w:r w:rsidRPr="00A808A2">
        <w:rPr>
          <w:bCs/>
          <w:i/>
          <w:iCs/>
        </w:rPr>
        <w:t xml:space="preserve">NPPF para 132 requires the impact of a proposal on the significance of a designated heritage asset to be considered, great weight should be given to an asset’s conservation. </w:t>
      </w:r>
    </w:p>
    <w:p w:rsidR="002C42D8" w:rsidRPr="00A808A2" w:rsidRDefault="002C42D8" w:rsidP="009651EC">
      <w:pPr>
        <w:rPr>
          <w:bCs/>
          <w:i/>
          <w:iCs/>
        </w:rPr>
      </w:pPr>
      <w:r>
        <w:rPr>
          <w:bCs/>
          <w:i/>
          <w:iCs/>
        </w:rPr>
        <w:t xml:space="preserve">NPPF para 134 when less than substantial harm to the heritage asset is identified it should be weighed against the public benefit of the proposal, including securing its optimum viable use. </w:t>
      </w:r>
    </w:p>
    <w:p w:rsidR="009651EC" w:rsidRPr="00A808A2" w:rsidRDefault="009651EC" w:rsidP="009651EC">
      <w:pPr>
        <w:rPr>
          <w:bCs/>
          <w:i/>
          <w:iCs/>
        </w:rPr>
      </w:pPr>
      <w:r w:rsidRPr="00A808A2">
        <w:rPr>
          <w:bCs/>
          <w:i/>
          <w:iCs/>
        </w:rPr>
        <w:lastRenderedPageBreak/>
        <w:t>NPPF para 134 seeks to weigh less than substantial harm against the public benefit including securing optimum viable use.</w:t>
      </w:r>
    </w:p>
    <w:p w:rsidR="009651EC" w:rsidRDefault="009651EC" w:rsidP="009651EC">
      <w:pPr>
        <w:rPr>
          <w:bCs/>
          <w:i/>
          <w:iCs/>
        </w:rPr>
      </w:pPr>
      <w:r>
        <w:rPr>
          <w:bCs/>
          <w:i/>
          <w:iCs/>
        </w:rPr>
        <w:t>Core Strategy Policies</w:t>
      </w:r>
    </w:p>
    <w:p w:rsidR="009651EC" w:rsidRPr="009651EC" w:rsidRDefault="009651EC" w:rsidP="009651EC">
      <w:pPr>
        <w:autoSpaceDE w:val="0"/>
        <w:autoSpaceDN w:val="0"/>
        <w:adjustRightInd w:val="0"/>
        <w:spacing w:after="0" w:line="240" w:lineRule="auto"/>
        <w:rPr>
          <w:rFonts w:cs="Arial"/>
          <w:bCs/>
          <w:i/>
        </w:rPr>
      </w:pPr>
      <w:r w:rsidRPr="009651EC">
        <w:rPr>
          <w:bCs/>
          <w:iCs/>
        </w:rPr>
        <w:t>CS11 Protecting and Enhancing the Special Environment and Heritage of Havant Borough states that</w:t>
      </w:r>
      <w:r>
        <w:rPr>
          <w:bCs/>
          <w:i/>
          <w:iCs/>
        </w:rPr>
        <w:t xml:space="preserve">  ‘planning permission will be granted for development that </w:t>
      </w:r>
      <w:r w:rsidRPr="009651EC">
        <w:rPr>
          <w:rFonts w:cs="Arial"/>
          <w:bCs/>
          <w:i/>
        </w:rPr>
        <w:t>Protects and where appropriate enhances the b</w:t>
      </w:r>
      <w:r w:rsidRPr="009651EC">
        <w:rPr>
          <w:rFonts w:cs="Arial,Bold"/>
          <w:bCs/>
          <w:i/>
        </w:rPr>
        <w:t>orough’s s</w:t>
      </w:r>
      <w:r w:rsidRPr="009651EC">
        <w:rPr>
          <w:rFonts w:cs="Arial"/>
          <w:bCs/>
          <w:i/>
        </w:rPr>
        <w:t>tatutory and non</w:t>
      </w:r>
      <w:r w:rsidR="002C42D8">
        <w:rPr>
          <w:rFonts w:cs="Arial"/>
          <w:bCs/>
          <w:i/>
        </w:rPr>
        <w:t xml:space="preserve"> </w:t>
      </w:r>
      <w:r w:rsidRPr="009651EC">
        <w:rPr>
          <w:rFonts w:cs="Arial"/>
          <w:bCs/>
          <w:i/>
        </w:rPr>
        <w:t>statutory</w:t>
      </w:r>
      <w:r>
        <w:rPr>
          <w:rFonts w:cs="Arial"/>
          <w:bCs/>
          <w:i/>
        </w:rPr>
        <w:t xml:space="preserve"> </w:t>
      </w:r>
      <w:r w:rsidRPr="009651EC">
        <w:rPr>
          <w:rFonts w:cs="Arial"/>
          <w:bCs/>
          <w:i/>
        </w:rPr>
        <w:t>heritage designations by appropriately managing development in or</w:t>
      </w:r>
      <w:r>
        <w:rPr>
          <w:rFonts w:cs="Arial"/>
          <w:bCs/>
          <w:i/>
        </w:rPr>
        <w:t xml:space="preserve"> </w:t>
      </w:r>
      <w:r w:rsidRPr="009651EC">
        <w:rPr>
          <w:rFonts w:cs="Arial"/>
          <w:bCs/>
          <w:i/>
        </w:rPr>
        <w:t>adjacent to conservation areas, listed buildings, scheduled ancient monuments,</w:t>
      </w:r>
    </w:p>
    <w:p w:rsidR="009651EC" w:rsidRDefault="009651EC" w:rsidP="009651EC">
      <w:pPr>
        <w:autoSpaceDE w:val="0"/>
        <w:autoSpaceDN w:val="0"/>
        <w:adjustRightInd w:val="0"/>
        <w:spacing w:after="0" w:line="240" w:lineRule="auto"/>
        <w:rPr>
          <w:rFonts w:cs="Arial"/>
          <w:bCs/>
          <w:i/>
        </w:rPr>
      </w:pPr>
      <w:r w:rsidRPr="009651EC">
        <w:rPr>
          <w:rFonts w:cs="Arial"/>
          <w:bCs/>
          <w:i/>
        </w:rPr>
        <w:t>historic parks and gardens, archaeological sites, buildings of local historic or</w:t>
      </w:r>
      <w:r>
        <w:rPr>
          <w:rFonts w:cs="Arial"/>
          <w:bCs/>
          <w:i/>
        </w:rPr>
        <w:t xml:space="preserve"> architectural interest’.</w:t>
      </w:r>
    </w:p>
    <w:p w:rsidR="009651EC" w:rsidRPr="009651EC" w:rsidRDefault="009651EC" w:rsidP="009651EC">
      <w:pPr>
        <w:autoSpaceDE w:val="0"/>
        <w:autoSpaceDN w:val="0"/>
        <w:adjustRightInd w:val="0"/>
        <w:spacing w:after="0" w:line="240" w:lineRule="auto"/>
        <w:rPr>
          <w:bCs/>
          <w:i/>
          <w:iCs/>
        </w:rPr>
      </w:pPr>
    </w:p>
    <w:p w:rsidR="009651EC" w:rsidRDefault="009651EC" w:rsidP="009651EC">
      <w:pPr>
        <w:rPr>
          <w:bCs/>
          <w:i/>
          <w:iCs/>
        </w:rPr>
      </w:pPr>
      <w:r>
        <w:rPr>
          <w:bCs/>
          <w:i/>
          <w:iCs/>
        </w:rPr>
        <w:t>CS16 High Quality Design.</w:t>
      </w:r>
      <w:r w:rsidR="00CB3CE3">
        <w:rPr>
          <w:bCs/>
          <w:i/>
          <w:iCs/>
        </w:rPr>
        <w:t xml:space="preserve"> States that the development should be designed to a high standard and ‘responds positively to existing features of natural o</w:t>
      </w:r>
      <w:r w:rsidR="002824D3">
        <w:rPr>
          <w:bCs/>
          <w:i/>
          <w:iCs/>
        </w:rPr>
        <w:t>r historic or local character’.</w:t>
      </w:r>
    </w:p>
    <w:p w:rsidR="00A14997" w:rsidRDefault="00A14997">
      <w:pPr>
        <w:rPr>
          <w:b/>
        </w:rPr>
      </w:pPr>
      <w:r>
        <w:rPr>
          <w:b/>
        </w:rPr>
        <w:t>Assessment</w:t>
      </w:r>
    </w:p>
    <w:p w:rsidR="00364647" w:rsidRPr="00401619" w:rsidRDefault="002C42D8" w:rsidP="00364647">
      <w:pPr>
        <w:rPr>
          <w:rFonts w:cs="Arial"/>
        </w:rPr>
      </w:pPr>
      <w:r>
        <w:t>It is considered that this scheme entails the removal of substant</w:t>
      </w:r>
      <w:r w:rsidR="002824D3">
        <w:t>ial amount of the internal wall structure</w:t>
      </w:r>
      <w:r>
        <w:t xml:space="preserve"> and would not allow the building</w:t>
      </w:r>
      <w:r w:rsidR="00C81871">
        <w:t>’s</w:t>
      </w:r>
      <w:r>
        <w:t xml:space="preserve"> former layout to be understood</w:t>
      </w:r>
      <w:r w:rsidR="00C81871">
        <w:t>. The sub-division of the principal room at first floor also has a negative impact on the readability and ability to appreciate the grandeur and scale of corner room within this former corner pubic House</w:t>
      </w:r>
      <w:r>
        <w:t xml:space="preserve">. </w:t>
      </w:r>
    </w:p>
    <w:p w:rsidR="00364647" w:rsidRDefault="002C42D8" w:rsidP="00364647">
      <w:r>
        <w:t>The changes to the roof form are substantial as the proposed flat roof is to be level to the original ridges and expands north resulting in the lost of dormer within the roof valley. The result is a significant increase in the bu</w:t>
      </w:r>
      <w:r w:rsidR="00C81871">
        <w:t>lk and mass of the roof form that</w:t>
      </w:r>
      <w:r>
        <w:t xml:space="preserve"> is considered to be </w:t>
      </w:r>
      <w:r w:rsidR="002824D3">
        <w:t xml:space="preserve">alien to the listed building and therefore </w:t>
      </w:r>
      <w:r>
        <w:t>harmful to the</w:t>
      </w:r>
      <w:r w:rsidR="002824D3">
        <w:t xml:space="preserve"> character</w:t>
      </w:r>
      <w:r w:rsidR="00364647">
        <w:t xml:space="preserve"> and its setting.</w:t>
      </w:r>
    </w:p>
    <w:p w:rsidR="00364647" w:rsidRPr="00401619" w:rsidRDefault="00364647" w:rsidP="00364647">
      <w:pPr>
        <w:rPr>
          <w:rFonts w:cs="Arial"/>
        </w:rPr>
      </w:pPr>
      <w:r w:rsidRPr="00364647">
        <w:rPr>
          <w:rFonts w:cs="Arial"/>
        </w:rPr>
        <w:t xml:space="preserve"> </w:t>
      </w:r>
      <w:r w:rsidRPr="00401619">
        <w:rPr>
          <w:rFonts w:cs="Arial"/>
        </w:rPr>
        <w:t>This being the case, the extension would not be readily visible from the public domain. It would however be seen f</w:t>
      </w:r>
      <w:r>
        <w:rPr>
          <w:rFonts w:cs="Arial"/>
        </w:rPr>
        <w:t>rom the appeal property and neighbouring properties</w:t>
      </w:r>
      <w:r w:rsidRPr="00401619">
        <w:rPr>
          <w:rFonts w:cs="Arial"/>
        </w:rPr>
        <w:t xml:space="preserve">. These form part of the surroundings in which the heritage asset is experienced. That these are not public views does not lessen the requirement to pay special attention to the desirability of preserving or enhancing the </w:t>
      </w:r>
      <w:r>
        <w:rPr>
          <w:rFonts w:cs="Arial"/>
        </w:rPr>
        <w:t xml:space="preserve">Listed Building and the </w:t>
      </w:r>
      <w:r w:rsidRPr="00401619">
        <w:rPr>
          <w:rFonts w:cs="Arial"/>
        </w:rPr>
        <w:t>C</w:t>
      </w:r>
      <w:r>
        <w:rPr>
          <w:rFonts w:cs="Arial"/>
        </w:rPr>
        <w:t xml:space="preserve">onservation </w:t>
      </w:r>
      <w:r w:rsidRPr="00401619">
        <w:rPr>
          <w:rFonts w:cs="Arial"/>
        </w:rPr>
        <w:t>A</w:t>
      </w:r>
      <w:r>
        <w:rPr>
          <w:rFonts w:cs="Arial"/>
        </w:rPr>
        <w:t>rea</w:t>
      </w:r>
      <w:r w:rsidRPr="00401619">
        <w:rPr>
          <w:rFonts w:cs="Arial"/>
        </w:rPr>
        <w:t>.</w:t>
      </w:r>
    </w:p>
    <w:p w:rsidR="00A14997" w:rsidRDefault="002C42D8">
      <w:r>
        <w:t xml:space="preserve">Section 132 of the NPPF states that great weight should be given a heritage assets conservation </w:t>
      </w:r>
      <w:r w:rsidR="00336711">
        <w:t xml:space="preserve">as such the current proposal is considered to fall within the category of ‘less than substantial harm’. However it is felt that the additional residential unit that this scheme seeks to obtain beyond that previously consented </w:t>
      </w:r>
      <w:r w:rsidR="00124244">
        <w:t>does not out weigh the additional harm that would result from this application.</w:t>
      </w:r>
      <w:r w:rsidR="006B2A78">
        <w:t xml:space="preserve"> In this respect the current proposal is a retrograde step in comparison to the permission that has already been granted.</w:t>
      </w:r>
    </w:p>
    <w:p w:rsidR="00A14997" w:rsidRDefault="00A14997">
      <w:pPr>
        <w:rPr>
          <w:b/>
        </w:rPr>
      </w:pPr>
      <w:r>
        <w:rPr>
          <w:b/>
        </w:rPr>
        <w:t>Recommendation</w:t>
      </w:r>
    </w:p>
    <w:p w:rsidR="00A14997" w:rsidRPr="00336711" w:rsidRDefault="00336711">
      <w:r w:rsidRPr="00336711">
        <w:t>Refuse</w:t>
      </w:r>
    </w:p>
    <w:p w:rsidR="00A14997" w:rsidRPr="00A14997" w:rsidRDefault="00A14997">
      <w:pPr>
        <w:rPr>
          <w:b/>
        </w:rPr>
      </w:pPr>
    </w:p>
    <w:sectPr w:rsidR="00A14997" w:rsidRPr="00A149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97"/>
    <w:rsid w:val="0008782A"/>
    <w:rsid w:val="00124244"/>
    <w:rsid w:val="001C02AC"/>
    <w:rsid w:val="002003EE"/>
    <w:rsid w:val="002824D3"/>
    <w:rsid w:val="002C42D8"/>
    <w:rsid w:val="00336711"/>
    <w:rsid w:val="00364647"/>
    <w:rsid w:val="006B2A78"/>
    <w:rsid w:val="009651EC"/>
    <w:rsid w:val="00A14997"/>
    <w:rsid w:val="00AC4BD0"/>
    <w:rsid w:val="00C81871"/>
    <w:rsid w:val="00CB3CE3"/>
    <w:rsid w:val="00EC0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4DB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jhill</dc:creator>
  <cp:lastModifiedBy>jhill</cp:lastModifiedBy>
  <cp:revision>3</cp:revision>
  <dcterms:created xsi:type="dcterms:W3CDTF">2017-12-04T15:48:00Z</dcterms:created>
  <dcterms:modified xsi:type="dcterms:W3CDTF">2017-12-04T15:56:00Z</dcterms:modified>
</cp:coreProperties>
</file>