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9C71EB" w14:textId="77777777" w:rsidR="00D376DF" w:rsidRPr="00493D1E" w:rsidRDefault="00D376DF" w:rsidP="00D376DF">
      <w:pPr>
        <w:jc w:val="center"/>
        <w:rPr>
          <w:rFonts w:ascii="Calibri" w:hAnsi="Calibri" w:cs="Calibri"/>
          <w:b/>
          <w:sz w:val="22"/>
          <w:szCs w:val="22"/>
        </w:rPr>
      </w:pPr>
      <w:r w:rsidRPr="00493D1E">
        <w:rPr>
          <w:rFonts w:ascii="Calibri" w:hAnsi="Calibri" w:cs="Calibri"/>
          <w:b/>
          <w:sz w:val="22"/>
          <w:szCs w:val="22"/>
        </w:rPr>
        <w:t xml:space="preserve">Havant Borough Council </w:t>
      </w:r>
    </w:p>
    <w:p w14:paraId="21857C14" w14:textId="7A9BE887" w:rsidR="00D376DF" w:rsidRPr="00493D1E" w:rsidRDefault="002A25D7" w:rsidP="00D376DF">
      <w:pPr>
        <w:jc w:val="center"/>
        <w:rPr>
          <w:rFonts w:ascii="Calibri" w:hAnsi="Calibri" w:cs="Calibri"/>
          <w:b/>
          <w:sz w:val="22"/>
          <w:szCs w:val="22"/>
        </w:rPr>
      </w:pPr>
      <w:r w:rsidRPr="00493D1E">
        <w:rPr>
          <w:rFonts w:ascii="Calibri" w:hAnsi="Calibri" w:cs="Calibri"/>
          <w:b/>
          <w:noProof/>
          <w:sz w:val="22"/>
          <w:szCs w:val="22"/>
        </w:rPr>
        <mc:AlternateContent>
          <mc:Choice Requires="wps">
            <w:drawing>
              <wp:anchor distT="45720" distB="45720" distL="114300" distR="114300" simplePos="0" relativeHeight="251661312" behindDoc="0" locked="0" layoutInCell="1" allowOverlap="1" wp14:anchorId="6CBFD64C" wp14:editId="480DC1C7">
                <wp:simplePos x="0" y="0"/>
                <wp:positionH relativeFrom="column">
                  <wp:posOffset>7620</wp:posOffset>
                </wp:positionH>
                <wp:positionV relativeFrom="paragraph">
                  <wp:posOffset>401955</wp:posOffset>
                </wp:positionV>
                <wp:extent cx="5775960" cy="1851660"/>
                <wp:effectExtent l="0" t="0" r="15240" b="152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5960" cy="1851660"/>
                        </a:xfrm>
                        <a:prstGeom prst="rect">
                          <a:avLst/>
                        </a:prstGeom>
                        <a:solidFill>
                          <a:schemeClr val="accent1">
                            <a:lumMod val="20000"/>
                            <a:lumOff val="80000"/>
                          </a:schemeClr>
                        </a:solidFill>
                        <a:ln w="9525">
                          <a:solidFill>
                            <a:srgbClr val="000000"/>
                          </a:solidFill>
                          <a:miter lim="800000"/>
                          <a:headEnd/>
                          <a:tailEnd/>
                        </a:ln>
                      </wps:spPr>
                      <wps:txbx>
                        <w:txbxContent>
                          <w:p w14:paraId="7546DDFA" w14:textId="2CA2C28D"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Date – </w:t>
                            </w:r>
                            <w:proofErr w:type="gramStart"/>
                            <w:r w:rsidR="006E18D9">
                              <w:rPr>
                                <w:rFonts w:ascii="Calibri" w:hAnsi="Calibri" w:cs="Calibri"/>
                                <w:b/>
                                <w:sz w:val="22"/>
                                <w:szCs w:val="22"/>
                              </w:rPr>
                              <w:t>18</w:t>
                            </w:r>
                            <w:r w:rsidR="00F77348">
                              <w:rPr>
                                <w:rFonts w:ascii="Calibri" w:hAnsi="Calibri" w:cs="Calibri"/>
                                <w:b/>
                                <w:sz w:val="22"/>
                                <w:szCs w:val="22"/>
                              </w:rPr>
                              <w:t>/10/24</w:t>
                            </w:r>
                            <w:proofErr w:type="gramEnd"/>
                          </w:p>
                          <w:p w14:paraId="3ABEBC21" w14:textId="77777777"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Officer – Rachael McMurray, Principal Heritage Officer </w:t>
                            </w:r>
                          </w:p>
                          <w:p w14:paraId="4243FEA7" w14:textId="13157241"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Application – APP/24/</w:t>
                            </w:r>
                            <w:r w:rsidR="006E18D9">
                              <w:rPr>
                                <w:rFonts w:ascii="Calibri" w:hAnsi="Calibri" w:cs="Calibri"/>
                                <w:b/>
                                <w:sz w:val="22"/>
                                <w:szCs w:val="22"/>
                              </w:rPr>
                              <w:t>00703</w:t>
                            </w:r>
                          </w:p>
                          <w:p w14:paraId="4E73D59F" w14:textId="6A72D357" w:rsidR="007B2A4E" w:rsidRDefault="002A25D7" w:rsidP="007B2A4E">
                            <w:pPr>
                              <w:jc w:val="both"/>
                              <w:rPr>
                                <w:rFonts w:ascii="Calibri" w:hAnsi="Calibri" w:cs="Calibri"/>
                                <w:b/>
                                <w:sz w:val="22"/>
                                <w:szCs w:val="22"/>
                              </w:rPr>
                            </w:pPr>
                            <w:r w:rsidRPr="00493D1E">
                              <w:rPr>
                                <w:rFonts w:ascii="Calibri" w:hAnsi="Calibri" w:cs="Calibri"/>
                                <w:b/>
                                <w:sz w:val="22"/>
                                <w:szCs w:val="22"/>
                              </w:rPr>
                              <w:t xml:space="preserve">Site Address – </w:t>
                            </w:r>
                            <w:r w:rsidR="006E18D9">
                              <w:rPr>
                                <w:rFonts w:ascii="Calibri" w:hAnsi="Calibri" w:cs="Calibri"/>
                                <w:b/>
                                <w:sz w:val="22"/>
                                <w:szCs w:val="22"/>
                              </w:rPr>
                              <w:t xml:space="preserve">32 Lymbourn Road, Havant </w:t>
                            </w:r>
                            <w:r w:rsidR="00B20E53">
                              <w:rPr>
                                <w:rFonts w:ascii="Calibri" w:hAnsi="Calibri" w:cs="Calibri"/>
                                <w:b/>
                                <w:sz w:val="22"/>
                                <w:szCs w:val="22"/>
                              </w:rPr>
                              <w:t xml:space="preserve"> </w:t>
                            </w:r>
                            <w:r w:rsidR="007B2A4E">
                              <w:rPr>
                                <w:rFonts w:ascii="Calibri" w:hAnsi="Calibri" w:cs="Calibri"/>
                                <w:b/>
                                <w:sz w:val="22"/>
                                <w:szCs w:val="22"/>
                              </w:rPr>
                              <w:t xml:space="preserve"> </w:t>
                            </w:r>
                          </w:p>
                          <w:p w14:paraId="0C5385C0" w14:textId="328D9E30" w:rsidR="00F4541D" w:rsidRPr="00F4541D" w:rsidRDefault="00970669" w:rsidP="00F4541D">
                            <w:pPr>
                              <w:rPr>
                                <w:rFonts w:ascii="Arial" w:hAnsi="Arial" w:cs="Arial"/>
                                <w:kern w:val="0"/>
                                <w:sz w:val="22"/>
                                <w:szCs w:val="22"/>
                              </w:rPr>
                            </w:pPr>
                            <w:r>
                              <w:rPr>
                                <w:rFonts w:ascii="Calibri" w:hAnsi="Calibri" w:cs="Calibri"/>
                                <w:b/>
                                <w:sz w:val="22"/>
                                <w:szCs w:val="22"/>
                              </w:rPr>
                              <w:t xml:space="preserve">Proposal </w:t>
                            </w:r>
                            <w:r w:rsidR="00F4541D">
                              <w:rPr>
                                <w:rFonts w:ascii="Calibri" w:hAnsi="Calibri" w:cs="Calibri"/>
                                <w:b/>
                                <w:sz w:val="22"/>
                                <w:szCs w:val="22"/>
                              </w:rPr>
                              <w:t>–</w:t>
                            </w:r>
                            <w:r>
                              <w:rPr>
                                <w:rFonts w:ascii="Calibri" w:hAnsi="Calibri" w:cs="Calibri"/>
                                <w:b/>
                                <w:sz w:val="22"/>
                                <w:szCs w:val="22"/>
                              </w:rPr>
                              <w:t xml:space="preserve"> </w:t>
                            </w:r>
                            <w:r w:rsidR="006E18D9">
                              <w:rPr>
                                <w:rFonts w:ascii="Calibri" w:hAnsi="Calibri" w:cs="Calibri"/>
                                <w:b/>
                                <w:bCs/>
                                <w:kern w:val="0"/>
                                <w:sz w:val="22"/>
                                <w:szCs w:val="22"/>
                              </w:rPr>
                              <w:t xml:space="preserve">Single storey side and rear extension </w:t>
                            </w:r>
                          </w:p>
                          <w:p w14:paraId="45A6F63A" w14:textId="62E09CDE" w:rsidR="007B2A4E" w:rsidRDefault="007B2A4E" w:rsidP="007B2A4E">
                            <w:pPr>
                              <w:pStyle w:val="Normal0"/>
                              <w:rPr>
                                <w:sz w:val="22"/>
                                <w:szCs w:val="22"/>
                              </w:rPr>
                            </w:pPr>
                          </w:p>
                          <w:p w14:paraId="6C93293B" w14:textId="3140F2CD" w:rsidR="009A6F4C" w:rsidRDefault="009A6F4C" w:rsidP="007B2A4E">
                            <w:pPr>
                              <w:jc w:val="both"/>
                              <w:rPr>
                                <w:sz w:val="22"/>
                                <w:szCs w:val="22"/>
                              </w:rPr>
                            </w:pPr>
                          </w:p>
                          <w:p w14:paraId="64A1B298" w14:textId="77777777" w:rsidR="009A6F4C" w:rsidRDefault="009A6F4C" w:rsidP="009A6F4C">
                            <w:pPr>
                              <w:pStyle w:val="Normal0"/>
                              <w:rPr>
                                <w:sz w:val="22"/>
                                <w:szCs w:val="22"/>
                              </w:rPr>
                            </w:pPr>
                          </w:p>
                          <w:p w14:paraId="6137D28E" w14:textId="2A4D5C4B" w:rsidR="00970669" w:rsidRDefault="00970669" w:rsidP="00970669">
                            <w:pPr>
                              <w:pStyle w:val="Normal0"/>
                              <w:rPr>
                                <w:sz w:val="22"/>
                                <w:szCs w:val="22"/>
                              </w:rPr>
                            </w:pPr>
                          </w:p>
                          <w:p w14:paraId="2C094B08" w14:textId="359587E6" w:rsidR="00970669" w:rsidRPr="00493D1E" w:rsidRDefault="00970669" w:rsidP="002A25D7">
                            <w:pPr>
                              <w:jc w:val="both"/>
                              <w:rPr>
                                <w:rFonts w:ascii="Calibri" w:hAnsi="Calibri" w:cs="Calibri"/>
                                <w:b/>
                                <w:sz w:val="22"/>
                                <w:szCs w:val="22"/>
                              </w:rPr>
                            </w:pPr>
                          </w:p>
                          <w:p w14:paraId="4E87FFBD" w14:textId="6FE9BEBA" w:rsidR="00D376DF" w:rsidRDefault="00D376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BFD64C" id="_x0000_t202" coordsize="21600,21600" o:spt="202" path="m,l,21600r21600,l21600,xe">
                <v:stroke joinstyle="miter"/>
                <v:path gradientshapeok="t" o:connecttype="rect"/>
              </v:shapetype>
              <v:shape id="Text Box 2" o:spid="_x0000_s1026" type="#_x0000_t202" style="position:absolute;left:0;text-align:left;margin-left:.6pt;margin-top:31.65pt;width:454.8pt;height:145.8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" fillcolor="#c1e4f5 [660]">
                <v:textbox>
                  <w:txbxContent>
                    <w:p w14:paraId="7546DDFA" w14:textId="2CA2C28D"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Date – </w:t>
                      </w:r>
                      <w:proofErr w:type="gramStart"/>
                      <w:r w:rsidR="006E18D9">
                        <w:rPr>
                          <w:rFonts w:ascii="Calibri" w:hAnsi="Calibri" w:cs="Calibri"/>
                          <w:b/>
                          <w:sz w:val="22"/>
                          <w:szCs w:val="22"/>
                        </w:rPr>
                        <w:t>18</w:t>
                      </w:r>
                      <w:r w:rsidR="00F77348">
                        <w:rPr>
                          <w:rFonts w:ascii="Calibri" w:hAnsi="Calibri" w:cs="Calibri"/>
                          <w:b/>
                          <w:sz w:val="22"/>
                          <w:szCs w:val="22"/>
                        </w:rPr>
                        <w:t>/10/24</w:t>
                      </w:r>
                      <w:proofErr w:type="gramEnd"/>
                    </w:p>
                    <w:p w14:paraId="3ABEBC21" w14:textId="77777777"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Officer – Rachael McMurray, Principal Heritage Officer </w:t>
                      </w:r>
                    </w:p>
                    <w:p w14:paraId="4243FEA7" w14:textId="13157241"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Application – APP/24/</w:t>
                      </w:r>
                      <w:r w:rsidR="006E18D9">
                        <w:rPr>
                          <w:rFonts w:ascii="Calibri" w:hAnsi="Calibri" w:cs="Calibri"/>
                          <w:b/>
                          <w:sz w:val="22"/>
                          <w:szCs w:val="22"/>
                        </w:rPr>
                        <w:t>00703</w:t>
                      </w:r>
                    </w:p>
                    <w:p w14:paraId="4E73D59F" w14:textId="6A72D357" w:rsidR="007B2A4E" w:rsidRDefault="002A25D7" w:rsidP="007B2A4E">
                      <w:pPr>
                        <w:jc w:val="both"/>
                        <w:rPr>
                          <w:rFonts w:ascii="Calibri" w:hAnsi="Calibri" w:cs="Calibri"/>
                          <w:b/>
                          <w:sz w:val="22"/>
                          <w:szCs w:val="22"/>
                        </w:rPr>
                      </w:pPr>
                      <w:r w:rsidRPr="00493D1E">
                        <w:rPr>
                          <w:rFonts w:ascii="Calibri" w:hAnsi="Calibri" w:cs="Calibri"/>
                          <w:b/>
                          <w:sz w:val="22"/>
                          <w:szCs w:val="22"/>
                        </w:rPr>
                        <w:t xml:space="preserve">Site Address – </w:t>
                      </w:r>
                      <w:r w:rsidR="006E18D9">
                        <w:rPr>
                          <w:rFonts w:ascii="Calibri" w:hAnsi="Calibri" w:cs="Calibri"/>
                          <w:b/>
                          <w:sz w:val="22"/>
                          <w:szCs w:val="22"/>
                        </w:rPr>
                        <w:t xml:space="preserve">32 Lymbourn Road, Havant </w:t>
                      </w:r>
                      <w:r w:rsidR="00B20E53">
                        <w:rPr>
                          <w:rFonts w:ascii="Calibri" w:hAnsi="Calibri" w:cs="Calibri"/>
                          <w:b/>
                          <w:sz w:val="22"/>
                          <w:szCs w:val="22"/>
                        </w:rPr>
                        <w:t xml:space="preserve"> </w:t>
                      </w:r>
                      <w:r w:rsidR="007B2A4E">
                        <w:rPr>
                          <w:rFonts w:ascii="Calibri" w:hAnsi="Calibri" w:cs="Calibri"/>
                          <w:b/>
                          <w:sz w:val="22"/>
                          <w:szCs w:val="22"/>
                        </w:rPr>
                        <w:t xml:space="preserve"> </w:t>
                      </w:r>
                    </w:p>
                    <w:p w14:paraId="0C5385C0" w14:textId="328D9E30" w:rsidR="00F4541D" w:rsidRPr="00F4541D" w:rsidRDefault="00970669" w:rsidP="00F4541D">
                      <w:pPr>
                        <w:rPr>
                          <w:rFonts w:ascii="Arial" w:hAnsi="Arial" w:cs="Arial"/>
                          <w:kern w:val="0"/>
                          <w:sz w:val="22"/>
                          <w:szCs w:val="22"/>
                        </w:rPr>
                      </w:pPr>
                      <w:r>
                        <w:rPr>
                          <w:rFonts w:ascii="Calibri" w:hAnsi="Calibri" w:cs="Calibri"/>
                          <w:b/>
                          <w:sz w:val="22"/>
                          <w:szCs w:val="22"/>
                        </w:rPr>
                        <w:t xml:space="preserve">Proposal </w:t>
                      </w:r>
                      <w:r w:rsidR="00F4541D">
                        <w:rPr>
                          <w:rFonts w:ascii="Calibri" w:hAnsi="Calibri" w:cs="Calibri"/>
                          <w:b/>
                          <w:sz w:val="22"/>
                          <w:szCs w:val="22"/>
                        </w:rPr>
                        <w:t>–</w:t>
                      </w:r>
                      <w:r>
                        <w:rPr>
                          <w:rFonts w:ascii="Calibri" w:hAnsi="Calibri" w:cs="Calibri"/>
                          <w:b/>
                          <w:sz w:val="22"/>
                          <w:szCs w:val="22"/>
                        </w:rPr>
                        <w:t xml:space="preserve"> </w:t>
                      </w:r>
                      <w:r w:rsidR="006E18D9">
                        <w:rPr>
                          <w:rFonts w:ascii="Calibri" w:hAnsi="Calibri" w:cs="Calibri"/>
                          <w:b/>
                          <w:bCs/>
                          <w:kern w:val="0"/>
                          <w:sz w:val="22"/>
                          <w:szCs w:val="22"/>
                        </w:rPr>
                        <w:t xml:space="preserve">Single storey side and rear extension </w:t>
                      </w:r>
                    </w:p>
                    <w:p w14:paraId="45A6F63A" w14:textId="62E09CDE" w:rsidR="007B2A4E" w:rsidRDefault="007B2A4E" w:rsidP="007B2A4E">
                      <w:pPr>
                        <w:pStyle w:val="Normal0"/>
                        <w:rPr>
                          <w:sz w:val="22"/>
                          <w:szCs w:val="22"/>
                        </w:rPr>
                      </w:pPr>
                    </w:p>
                    <w:p w14:paraId="6C93293B" w14:textId="3140F2CD" w:rsidR="009A6F4C" w:rsidRDefault="009A6F4C" w:rsidP="007B2A4E">
                      <w:pPr>
                        <w:jc w:val="both"/>
                        <w:rPr>
                          <w:sz w:val="22"/>
                          <w:szCs w:val="22"/>
                        </w:rPr>
                      </w:pPr>
                    </w:p>
                    <w:p w14:paraId="64A1B298" w14:textId="77777777" w:rsidR="009A6F4C" w:rsidRDefault="009A6F4C" w:rsidP="009A6F4C">
                      <w:pPr>
                        <w:pStyle w:val="Normal0"/>
                        <w:rPr>
                          <w:sz w:val="22"/>
                          <w:szCs w:val="22"/>
                        </w:rPr>
                      </w:pPr>
                    </w:p>
                    <w:p w14:paraId="6137D28E" w14:textId="2A4D5C4B" w:rsidR="00970669" w:rsidRDefault="00970669" w:rsidP="00970669">
                      <w:pPr>
                        <w:pStyle w:val="Normal0"/>
                        <w:rPr>
                          <w:sz w:val="22"/>
                          <w:szCs w:val="22"/>
                        </w:rPr>
                      </w:pPr>
                    </w:p>
                    <w:p w14:paraId="2C094B08" w14:textId="359587E6" w:rsidR="00970669" w:rsidRPr="00493D1E" w:rsidRDefault="00970669" w:rsidP="002A25D7">
                      <w:pPr>
                        <w:jc w:val="both"/>
                        <w:rPr>
                          <w:rFonts w:ascii="Calibri" w:hAnsi="Calibri" w:cs="Calibri"/>
                          <w:b/>
                          <w:sz w:val="22"/>
                          <w:szCs w:val="22"/>
                        </w:rPr>
                      </w:pPr>
                    </w:p>
                    <w:p w14:paraId="4E87FFBD" w14:textId="6FE9BEBA" w:rsidR="00D376DF" w:rsidRDefault="00D376DF"/>
                  </w:txbxContent>
                </v:textbox>
                <w10:wrap type="square"/>
              </v:shape>
            </w:pict>
          </mc:Fallback>
        </mc:AlternateContent>
      </w:r>
      <w:r w:rsidR="00CD18F5" w:rsidRPr="00493D1E">
        <w:rPr>
          <w:rFonts w:ascii="Calibri" w:hAnsi="Calibri" w:cs="Calibri"/>
          <w:b/>
          <w:sz w:val="22"/>
          <w:szCs w:val="22"/>
        </w:rPr>
        <w:t>Heritage Consultation Response</w:t>
      </w:r>
    </w:p>
    <w:p w14:paraId="21CD9AE7" w14:textId="4A346D5E" w:rsidR="00B12D34" w:rsidRPr="00493D1E" w:rsidRDefault="00B12D34">
      <w:pPr>
        <w:rPr>
          <w:rFonts w:ascii="Calibri" w:hAnsi="Calibri" w:cs="Calibri"/>
          <w:b/>
          <w:bCs/>
          <w:sz w:val="22"/>
          <w:szCs w:val="22"/>
        </w:rPr>
      </w:pPr>
      <w:r w:rsidRPr="00493D1E">
        <w:rPr>
          <w:rFonts w:ascii="Calibri" w:hAnsi="Calibri" w:cs="Calibri"/>
          <w:b/>
          <w:bCs/>
          <w:sz w:val="22"/>
          <w:szCs w:val="22"/>
          <w:highlight w:val="lightGray"/>
        </w:rPr>
        <w:t>Site / Location</w:t>
      </w:r>
      <w:r w:rsidRPr="00493D1E">
        <w:rPr>
          <w:rFonts w:ascii="Calibri" w:hAnsi="Calibri" w:cs="Calibri"/>
          <w:b/>
          <w:bCs/>
          <w:sz w:val="22"/>
          <w:szCs w:val="22"/>
        </w:rPr>
        <w:t xml:space="preserve"> </w:t>
      </w:r>
    </w:p>
    <w:p w14:paraId="50CDF83F" w14:textId="62E47319" w:rsidR="000C1B14" w:rsidRDefault="00B12D34" w:rsidP="00F77348">
      <w:pPr>
        <w:jc w:val="both"/>
        <w:rPr>
          <w:rFonts w:ascii="Calibri" w:hAnsi="Calibri" w:cs="Calibri"/>
          <w:sz w:val="22"/>
          <w:szCs w:val="22"/>
        </w:rPr>
      </w:pPr>
      <w:r w:rsidRPr="00493D1E">
        <w:rPr>
          <w:rFonts w:ascii="Calibri" w:hAnsi="Calibri" w:cs="Calibri"/>
          <w:sz w:val="22"/>
          <w:szCs w:val="22"/>
        </w:rPr>
        <w:t>The</w:t>
      </w:r>
      <w:r w:rsidR="00E82AE8">
        <w:rPr>
          <w:rFonts w:ascii="Calibri" w:hAnsi="Calibri" w:cs="Calibri"/>
          <w:sz w:val="22"/>
          <w:szCs w:val="22"/>
        </w:rPr>
        <w:t xml:space="preserve"> </w:t>
      </w:r>
      <w:r w:rsidR="00F77348">
        <w:rPr>
          <w:rFonts w:ascii="Calibri" w:hAnsi="Calibri" w:cs="Calibri"/>
          <w:sz w:val="22"/>
          <w:szCs w:val="22"/>
        </w:rPr>
        <w:t xml:space="preserve">application site is located on </w:t>
      </w:r>
      <w:proofErr w:type="spellStart"/>
      <w:r w:rsidR="006E18D9">
        <w:rPr>
          <w:rFonts w:ascii="Calibri" w:hAnsi="Calibri" w:cs="Calibri"/>
          <w:sz w:val="22"/>
          <w:szCs w:val="22"/>
        </w:rPr>
        <w:t>Lymbourne</w:t>
      </w:r>
      <w:proofErr w:type="spellEnd"/>
      <w:r w:rsidR="006E18D9">
        <w:rPr>
          <w:rFonts w:ascii="Calibri" w:hAnsi="Calibri" w:cs="Calibri"/>
          <w:sz w:val="22"/>
          <w:szCs w:val="22"/>
        </w:rPr>
        <w:t xml:space="preserve"> Road in Havant. It comprises a mid-terrace, late Victorian, two-storey property of brick and tile construction. </w:t>
      </w:r>
      <w:r w:rsidR="00F4541D">
        <w:rPr>
          <w:rFonts w:ascii="Calibri" w:hAnsi="Calibri" w:cs="Calibri"/>
          <w:sz w:val="22"/>
          <w:szCs w:val="22"/>
        </w:rPr>
        <w:t xml:space="preserve"> </w:t>
      </w:r>
      <w:r w:rsidR="006E18D9">
        <w:rPr>
          <w:rFonts w:ascii="Calibri" w:hAnsi="Calibri" w:cs="Calibri"/>
          <w:sz w:val="22"/>
          <w:szCs w:val="22"/>
        </w:rPr>
        <w:t xml:space="preserve">It is located within the Lymbourn Road Conservation Area. </w:t>
      </w:r>
    </w:p>
    <w:p w14:paraId="6F8BE53F" w14:textId="65B406A5" w:rsidR="00B12D34" w:rsidRPr="00493D1E" w:rsidRDefault="00B12D34" w:rsidP="00B12D34">
      <w:pPr>
        <w:jc w:val="both"/>
        <w:rPr>
          <w:rFonts w:ascii="Calibri" w:hAnsi="Calibri" w:cs="Calibri"/>
          <w:b/>
          <w:bCs/>
          <w:sz w:val="22"/>
          <w:szCs w:val="22"/>
        </w:rPr>
      </w:pPr>
      <w:r w:rsidRPr="00493D1E">
        <w:rPr>
          <w:rFonts w:ascii="Calibri" w:hAnsi="Calibri" w:cs="Calibri"/>
          <w:b/>
          <w:bCs/>
          <w:sz w:val="22"/>
          <w:szCs w:val="22"/>
          <w:highlight w:val="lightGray"/>
        </w:rPr>
        <w:t>Legislation</w:t>
      </w:r>
      <w:r w:rsidRPr="00493D1E">
        <w:rPr>
          <w:rFonts w:ascii="Calibri" w:hAnsi="Calibri" w:cs="Calibri"/>
          <w:b/>
          <w:bCs/>
          <w:sz w:val="22"/>
          <w:szCs w:val="22"/>
        </w:rPr>
        <w:t xml:space="preserve"> </w:t>
      </w:r>
    </w:p>
    <w:p w14:paraId="00FB9ADB" w14:textId="77777777" w:rsidR="002A25D7" w:rsidRPr="00493D1E" w:rsidRDefault="002A25D7" w:rsidP="002A25D7">
      <w:pPr>
        <w:jc w:val="both"/>
        <w:rPr>
          <w:rFonts w:ascii="Calibri" w:hAnsi="Calibri" w:cs="Calibri"/>
          <w:sz w:val="22"/>
          <w:szCs w:val="22"/>
        </w:rPr>
      </w:pPr>
      <w:r w:rsidRPr="00493D1E">
        <w:rPr>
          <w:rFonts w:ascii="Calibri" w:hAnsi="Calibri" w:cs="Calibri"/>
          <w:sz w:val="22"/>
          <w:szCs w:val="22"/>
        </w:rPr>
        <w:t xml:space="preserve">When assessing the proposal, the following legislation and policy context is taken in consideration. </w:t>
      </w:r>
    </w:p>
    <w:p w14:paraId="504502B0" w14:textId="7FBB28E0" w:rsidR="002A25D7" w:rsidRDefault="009F709F" w:rsidP="002A25D7">
      <w:pPr>
        <w:jc w:val="both"/>
        <w:rPr>
          <w:rFonts w:ascii="Calibri" w:hAnsi="Calibri" w:cs="Calibri"/>
          <w:b/>
          <w:bCs/>
          <w:sz w:val="22"/>
          <w:szCs w:val="22"/>
          <w:u w:val="single"/>
        </w:rPr>
      </w:pPr>
      <w:r>
        <w:rPr>
          <w:rFonts w:ascii="Calibri" w:hAnsi="Calibri" w:cs="Calibri"/>
          <w:b/>
          <w:bCs/>
          <w:sz w:val="22"/>
          <w:szCs w:val="22"/>
          <w:u w:val="single"/>
        </w:rPr>
        <w:t>Planning (</w:t>
      </w:r>
      <w:r w:rsidR="002A25D7" w:rsidRPr="00493D1E">
        <w:rPr>
          <w:rFonts w:ascii="Calibri" w:hAnsi="Calibri" w:cs="Calibri"/>
          <w:b/>
          <w:bCs/>
          <w:sz w:val="22"/>
          <w:szCs w:val="22"/>
          <w:u w:val="single"/>
        </w:rPr>
        <w:t>Listed Building and Conservation Areas) Act 1990</w:t>
      </w:r>
    </w:p>
    <w:p w14:paraId="700CA8C2" w14:textId="492BC11E" w:rsidR="00F77348" w:rsidRPr="00F77348" w:rsidRDefault="00F77348" w:rsidP="008A2273">
      <w:pPr>
        <w:autoSpaceDE w:val="0"/>
        <w:autoSpaceDN w:val="0"/>
        <w:adjustRightInd w:val="0"/>
        <w:jc w:val="both"/>
        <w:rPr>
          <w:rFonts w:cstheme="minorHAnsi"/>
          <w:sz w:val="22"/>
          <w:szCs w:val="22"/>
        </w:rPr>
      </w:pPr>
      <w:r>
        <w:rPr>
          <w:rFonts w:cstheme="minorHAnsi"/>
          <w:sz w:val="22"/>
          <w:szCs w:val="22"/>
        </w:rPr>
        <w:t xml:space="preserve">With regards to development in designated conservation areas, </w:t>
      </w:r>
      <w:r w:rsidRPr="00745AC2">
        <w:rPr>
          <w:rFonts w:cstheme="minorHAnsi"/>
          <w:sz w:val="22"/>
          <w:szCs w:val="22"/>
        </w:rPr>
        <w:t xml:space="preserve">Section 72 of the Planning (Listed Buildings and Conservation Areas) Act 1990 requires planning authorities, when considering whether to grant planning permission for development which affects a Conservation Area, to have special regard to the desirability of preserving or enhancing the character and appearance of that area. </w:t>
      </w:r>
    </w:p>
    <w:p w14:paraId="17DD080F" w14:textId="3E6FD4E6" w:rsidR="002A25D7" w:rsidRPr="00493D1E" w:rsidRDefault="002A25D7" w:rsidP="002A25D7">
      <w:pPr>
        <w:jc w:val="both"/>
        <w:rPr>
          <w:rFonts w:ascii="Calibri" w:hAnsi="Calibri" w:cs="Calibri"/>
          <w:b/>
          <w:bCs/>
          <w:sz w:val="22"/>
          <w:szCs w:val="22"/>
          <w:u w:val="single"/>
        </w:rPr>
      </w:pPr>
      <w:r w:rsidRPr="00493D1E">
        <w:rPr>
          <w:rFonts w:ascii="Calibri" w:hAnsi="Calibri" w:cs="Calibri"/>
          <w:b/>
          <w:bCs/>
          <w:sz w:val="22"/>
          <w:szCs w:val="22"/>
          <w:u w:val="single"/>
        </w:rPr>
        <w:t xml:space="preserve">National Planning Policy Framework </w:t>
      </w:r>
      <w:r w:rsidR="00B374C1" w:rsidRPr="00493D1E">
        <w:rPr>
          <w:rFonts w:ascii="Calibri" w:hAnsi="Calibri" w:cs="Calibri"/>
          <w:b/>
          <w:bCs/>
          <w:sz w:val="22"/>
          <w:szCs w:val="22"/>
          <w:u w:val="single"/>
        </w:rPr>
        <w:t>(revised</w:t>
      </w:r>
      <w:r w:rsidRPr="00493D1E">
        <w:rPr>
          <w:rFonts w:ascii="Calibri" w:hAnsi="Calibri" w:cs="Calibri"/>
          <w:b/>
          <w:bCs/>
          <w:sz w:val="22"/>
          <w:szCs w:val="22"/>
          <w:u w:val="single"/>
        </w:rPr>
        <w:t xml:space="preserve"> November 2023)</w:t>
      </w:r>
    </w:p>
    <w:p w14:paraId="69A70363" w14:textId="2EF30227" w:rsidR="002A25D7" w:rsidRPr="00493D1E" w:rsidRDefault="002A25D7" w:rsidP="002A25D7">
      <w:pPr>
        <w:jc w:val="both"/>
        <w:rPr>
          <w:rFonts w:ascii="Calibri" w:hAnsi="Calibri" w:cs="Calibri"/>
          <w:sz w:val="22"/>
          <w:szCs w:val="22"/>
        </w:rPr>
      </w:pPr>
      <w:r w:rsidRPr="00493D1E">
        <w:rPr>
          <w:rFonts w:ascii="Calibri" w:hAnsi="Calibri" w:cs="Calibri"/>
          <w:sz w:val="22"/>
          <w:szCs w:val="22"/>
        </w:rPr>
        <w:t xml:space="preserve">Chapter 16 of the NPPF relates to </w:t>
      </w:r>
      <w:r w:rsidRPr="00493D1E">
        <w:rPr>
          <w:rFonts w:ascii="Calibri" w:hAnsi="Calibri" w:cs="Calibri"/>
          <w:b/>
          <w:bCs/>
          <w:sz w:val="22"/>
          <w:szCs w:val="22"/>
        </w:rPr>
        <w:t>the Historic Environment</w:t>
      </w:r>
      <w:r w:rsidRPr="00493D1E">
        <w:rPr>
          <w:rFonts w:ascii="Calibri" w:hAnsi="Calibri" w:cs="Calibri"/>
          <w:sz w:val="22"/>
          <w:szCs w:val="22"/>
        </w:rPr>
        <w:t xml:space="preserve"> including paragraphs 195 – 214. The building subject to this application is not listed but is deemed to be a non-designated hertiage asset </w:t>
      </w:r>
      <w:r w:rsidR="00343DA8" w:rsidRPr="00493D1E">
        <w:rPr>
          <w:rFonts w:ascii="Calibri" w:hAnsi="Calibri" w:cs="Calibri"/>
          <w:sz w:val="22"/>
          <w:szCs w:val="22"/>
        </w:rPr>
        <w:t xml:space="preserve">(as set out in the introduction) </w:t>
      </w:r>
      <w:r w:rsidRPr="00493D1E">
        <w:rPr>
          <w:rFonts w:ascii="Calibri" w:hAnsi="Calibri" w:cs="Calibri"/>
          <w:sz w:val="22"/>
          <w:szCs w:val="22"/>
        </w:rPr>
        <w:t>and therefore the following paragraph</w:t>
      </w:r>
      <w:r w:rsidR="00343DA8" w:rsidRPr="00493D1E">
        <w:rPr>
          <w:rFonts w:ascii="Calibri" w:hAnsi="Calibri" w:cs="Calibri"/>
          <w:sz w:val="22"/>
          <w:szCs w:val="22"/>
        </w:rPr>
        <w:t xml:space="preserve">s are most relevant to </w:t>
      </w:r>
      <w:r w:rsidRPr="00493D1E">
        <w:rPr>
          <w:rFonts w:ascii="Calibri" w:hAnsi="Calibri" w:cs="Calibri"/>
          <w:sz w:val="22"/>
          <w:szCs w:val="22"/>
        </w:rPr>
        <w:t>the determination of this application</w:t>
      </w:r>
      <w:r w:rsidR="00343DA8" w:rsidRPr="00493D1E">
        <w:rPr>
          <w:rFonts w:ascii="Calibri" w:hAnsi="Calibri" w:cs="Calibri"/>
          <w:sz w:val="22"/>
          <w:szCs w:val="22"/>
        </w:rPr>
        <w:t xml:space="preserve">: </w:t>
      </w:r>
    </w:p>
    <w:p w14:paraId="3D9FF04D" w14:textId="446C3757" w:rsidR="000C1B14" w:rsidRDefault="000C1B14" w:rsidP="002A25D7">
      <w:pPr>
        <w:jc w:val="both"/>
        <w:rPr>
          <w:rFonts w:ascii="Calibri" w:hAnsi="Calibri" w:cs="Calibri"/>
          <w:sz w:val="22"/>
          <w:szCs w:val="22"/>
        </w:rPr>
      </w:pPr>
      <w:r>
        <w:rPr>
          <w:rFonts w:ascii="Calibri" w:hAnsi="Calibri" w:cs="Calibri"/>
          <w:sz w:val="22"/>
          <w:szCs w:val="22"/>
        </w:rPr>
        <w:t xml:space="preserve">Para 205 states that: </w:t>
      </w:r>
    </w:p>
    <w:p w14:paraId="15CB8347" w14:textId="53AF90FF" w:rsidR="000C1B14" w:rsidRPr="000C1B14" w:rsidRDefault="000C1B14" w:rsidP="002A25D7">
      <w:pPr>
        <w:jc w:val="both"/>
        <w:rPr>
          <w:rFonts w:ascii="Calibri" w:hAnsi="Calibri" w:cs="Calibri"/>
          <w:i/>
          <w:iCs/>
          <w:sz w:val="22"/>
          <w:szCs w:val="22"/>
        </w:rPr>
      </w:pPr>
      <w:r>
        <w:rPr>
          <w:rFonts w:ascii="Calibri" w:hAnsi="Calibri" w:cs="Calibri"/>
          <w:i/>
          <w:iCs/>
          <w:color w:val="0B0C0C"/>
          <w:sz w:val="22"/>
          <w:szCs w:val="22"/>
          <w:shd w:val="clear" w:color="auto" w:fill="FFFFFF"/>
        </w:rPr>
        <w:t>‘</w:t>
      </w:r>
      <w:r w:rsidRPr="000C1B14">
        <w:rPr>
          <w:rFonts w:ascii="Calibri" w:hAnsi="Calibri" w:cs="Calibri"/>
          <w:i/>
          <w:iCs/>
          <w:color w:val="0B0C0C"/>
          <w:sz w:val="22"/>
          <w:szCs w:val="22"/>
          <w:shd w:val="clear" w:color="auto" w:fill="FFFFFF"/>
        </w:rPr>
        <w:t>When considering the impact of a proposed development on the significance of a designated heritage asset, great weight should be given to the asset’s conservation (and the more important the asset, the greater the weight should be). This is irrespective of whether any potential harm amounts to substantial harm, total loss or less than substantial harm to its significance</w:t>
      </w:r>
      <w:r>
        <w:rPr>
          <w:rFonts w:ascii="Calibri" w:hAnsi="Calibri" w:cs="Calibri"/>
          <w:i/>
          <w:iCs/>
          <w:color w:val="0B0C0C"/>
          <w:sz w:val="22"/>
          <w:szCs w:val="22"/>
          <w:shd w:val="clear" w:color="auto" w:fill="FFFFFF"/>
        </w:rPr>
        <w:t>’</w:t>
      </w:r>
      <w:r w:rsidRPr="000C1B14">
        <w:rPr>
          <w:rFonts w:ascii="Calibri" w:hAnsi="Calibri" w:cs="Calibri"/>
          <w:i/>
          <w:iCs/>
          <w:color w:val="0B0C0C"/>
          <w:sz w:val="22"/>
          <w:szCs w:val="22"/>
          <w:shd w:val="clear" w:color="auto" w:fill="FFFFFF"/>
        </w:rPr>
        <w:t>.</w:t>
      </w:r>
    </w:p>
    <w:p w14:paraId="46D0BE8B" w14:textId="3BD281D4" w:rsidR="000C1B14" w:rsidRDefault="000C1B14" w:rsidP="002A25D7">
      <w:pPr>
        <w:jc w:val="both"/>
        <w:rPr>
          <w:rFonts w:ascii="Calibri" w:hAnsi="Calibri" w:cs="Calibri"/>
          <w:sz w:val="22"/>
          <w:szCs w:val="22"/>
        </w:rPr>
      </w:pPr>
      <w:r>
        <w:rPr>
          <w:rFonts w:ascii="Calibri" w:hAnsi="Calibri" w:cs="Calibri"/>
          <w:sz w:val="22"/>
          <w:szCs w:val="22"/>
        </w:rPr>
        <w:t xml:space="preserve">Para 206 states that: </w:t>
      </w:r>
    </w:p>
    <w:p w14:paraId="5DD68140" w14:textId="073D2996" w:rsidR="000C1B14" w:rsidRPr="000C1B14" w:rsidRDefault="000C1B14" w:rsidP="000C1B14">
      <w:pPr>
        <w:pStyle w:val="NormalWeb"/>
        <w:shd w:val="clear" w:color="auto" w:fill="FFFFFF"/>
        <w:spacing w:before="300" w:beforeAutospacing="0" w:after="300" w:afterAutospacing="0"/>
        <w:rPr>
          <w:rFonts w:ascii="Calibri" w:hAnsi="Calibri" w:cs="Calibri"/>
          <w:i/>
          <w:iCs/>
          <w:color w:val="0B0C0C"/>
          <w:sz w:val="22"/>
          <w:szCs w:val="22"/>
        </w:rPr>
      </w:pPr>
      <w:r>
        <w:rPr>
          <w:rFonts w:ascii="Calibri" w:hAnsi="Calibri" w:cs="Calibri"/>
          <w:i/>
          <w:iCs/>
          <w:color w:val="0B0C0C"/>
          <w:sz w:val="22"/>
          <w:szCs w:val="22"/>
        </w:rPr>
        <w:t>‘</w:t>
      </w:r>
      <w:r w:rsidRPr="000C1B14">
        <w:rPr>
          <w:rFonts w:ascii="Calibri" w:hAnsi="Calibri" w:cs="Calibri"/>
          <w:i/>
          <w:iCs/>
          <w:color w:val="0B0C0C"/>
          <w:sz w:val="22"/>
          <w:szCs w:val="22"/>
        </w:rPr>
        <w:t>Any harm to, or loss of, the significance of a designated heritage asset (from its alteration or destruction, or from development within its setting), should require clear and convincing justification. Substantial harm to or loss of:</w:t>
      </w:r>
    </w:p>
    <w:p w14:paraId="092955CF" w14:textId="77777777" w:rsidR="000C1B14" w:rsidRPr="000C1B14" w:rsidRDefault="000C1B14" w:rsidP="000C1B14">
      <w:pPr>
        <w:pStyle w:val="NormalWeb"/>
        <w:shd w:val="clear" w:color="auto" w:fill="FFFFFF"/>
        <w:spacing w:before="300" w:beforeAutospacing="0" w:after="300" w:afterAutospacing="0"/>
        <w:rPr>
          <w:rFonts w:ascii="Calibri" w:hAnsi="Calibri" w:cs="Calibri"/>
          <w:i/>
          <w:iCs/>
          <w:color w:val="0B0C0C"/>
          <w:sz w:val="22"/>
          <w:szCs w:val="22"/>
        </w:rPr>
      </w:pPr>
      <w:r w:rsidRPr="000C1B14">
        <w:rPr>
          <w:rFonts w:ascii="Calibri" w:hAnsi="Calibri" w:cs="Calibri"/>
          <w:i/>
          <w:iCs/>
          <w:color w:val="0B0C0C"/>
          <w:sz w:val="22"/>
          <w:szCs w:val="22"/>
        </w:rPr>
        <w:lastRenderedPageBreak/>
        <w:t xml:space="preserve">(a) grade II listed buildings, or grade II registered parks or gardens, should be </w:t>
      </w:r>
      <w:proofErr w:type="gramStart"/>
      <w:r w:rsidRPr="000C1B14">
        <w:rPr>
          <w:rFonts w:ascii="Calibri" w:hAnsi="Calibri" w:cs="Calibri"/>
          <w:i/>
          <w:iCs/>
          <w:color w:val="0B0C0C"/>
          <w:sz w:val="22"/>
          <w:szCs w:val="22"/>
        </w:rPr>
        <w:t>exceptional;</w:t>
      </w:r>
      <w:proofErr w:type="gramEnd"/>
    </w:p>
    <w:p w14:paraId="6F7A4BB8" w14:textId="6B1712EE" w:rsidR="000C1B14" w:rsidRPr="000C1B14" w:rsidRDefault="000C1B14" w:rsidP="000C1B14">
      <w:pPr>
        <w:pStyle w:val="NormalWeb"/>
        <w:shd w:val="clear" w:color="auto" w:fill="FFFFFF"/>
        <w:spacing w:before="300" w:beforeAutospacing="0" w:after="300" w:afterAutospacing="0"/>
        <w:rPr>
          <w:rFonts w:ascii="Calibri" w:hAnsi="Calibri" w:cs="Calibri"/>
          <w:i/>
          <w:iCs/>
          <w:color w:val="0B0C0C"/>
          <w:sz w:val="22"/>
          <w:szCs w:val="22"/>
        </w:rPr>
      </w:pPr>
      <w:r w:rsidRPr="000C1B14">
        <w:rPr>
          <w:rFonts w:ascii="Calibri" w:hAnsi="Calibri" w:cs="Calibri"/>
          <w:i/>
          <w:iCs/>
          <w:color w:val="0B0C0C"/>
          <w:sz w:val="22"/>
          <w:szCs w:val="22"/>
        </w:rPr>
        <w:t>(b) assets of the highest significance, notably scheduled monuments, protected wreck sites, registered battlefields, grade I and II* listed buildings, grade I and II* registered parks and gardens, and World Heritage Sites, should be wholly exceptional</w:t>
      </w:r>
      <w:r>
        <w:rPr>
          <w:rFonts w:ascii="Calibri" w:hAnsi="Calibri" w:cs="Calibri"/>
          <w:i/>
          <w:iCs/>
          <w:color w:val="0B0C0C"/>
          <w:sz w:val="22"/>
          <w:szCs w:val="22"/>
        </w:rPr>
        <w:t>’</w:t>
      </w:r>
    </w:p>
    <w:p w14:paraId="693EE17C" w14:textId="512ABBFA" w:rsidR="009769E7" w:rsidRPr="009769E7" w:rsidRDefault="00A52F89" w:rsidP="002A25D7">
      <w:pPr>
        <w:jc w:val="both"/>
        <w:rPr>
          <w:rFonts w:ascii="Calibri" w:hAnsi="Calibri" w:cs="Calibri"/>
          <w:sz w:val="22"/>
          <w:szCs w:val="22"/>
        </w:rPr>
      </w:pPr>
      <w:r w:rsidRPr="009769E7">
        <w:rPr>
          <w:rFonts w:ascii="Calibri" w:hAnsi="Calibri" w:cs="Calibri"/>
          <w:sz w:val="22"/>
          <w:szCs w:val="22"/>
        </w:rPr>
        <w:t xml:space="preserve">Para </w:t>
      </w:r>
      <w:r w:rsidR="009769E7" w:rsidRPr="009769E7">
        <w:rPr>
          <w:rFonts w:ascii="Calibri" w:hAnsi="Calibri" w:cs="Calibri"/>
          <w:sz w:val="22"/>
          <w:szCs w:val="22"/>
        </w:rPr>
        <w:t xml:space="preserve">207 states that: </w:t>
      </w:r>
    </w:p>
    <w:p w14:paraId="51CEE589" w14:textId="67F88015" w:rsidR="00A52F89" w:rsidRPr="009769E7" w:rsidRDefault="009769E7" w:rsidP="002A25D7">
      <w:pPr>
        <w:jc w:val="both"/>
        <w:rPr>
          <w:rFonts w:ascii="Calibri" w:hAnsi="Calibri" w:cs="Calibri"/>
          <w:i/>
          <w:iCs/>
          <w:sz w:val="22"/>
          <w:szCs w:val="22"/>
          <w:highlight w:val="yellow"/>
        </w:rPr>
      </w:pPr>
      <w:r w:rsidRPr="009769E7">
        <w:rPr>
          <w:rFonts w:ascii="Calibri" w:hAnsi="Calibri" w:cs="Calibri"/>
          <w:i/>
          <w:iCs/>
          <w:sz w:val="22"/>
          <w:szCs w:val="22"/>
        </w:rPr>
        <w:t>‘</w:t>
      </w:r>
      <w:proofErr w:type="gramStart"/>
      <w:r w:rsidRPr="009769E7">
        <w:rPr>
          <w:rFonts w:ascii="Calibri" w:hAnsi="Calibri" w:cs="Calibri"/>
          <w:i/>
          <w:iCs/>
          <w:sz w:val="22"/>
          <w:szCs w:val="22"/>
        </w:rPr>
        <w:t>where</w:t>
      </w:r>
      <w:proofErr w:type="gramEnd"/>
      <w:r w:rsidRPr="009769E7">
        <w:rPr>
          <w:rFonts w:ascii="Calibri" w:hAnsi="Calibri" w:cs="Calibri"/>
          <w:i/>
          <w:iCs/>
          <w:sz w:val="22"/>
          <w:szCs w:val="22"/>
        </w:rPr>
        <w:t xml:space="preserve"> a development will result in </w:t>
      </w:r>
      <w:r w:rsidRPr="00D132BD">
        <w:rPr>
          <w:rFonts w:ascii="Calibri" w:hAnsi="Calibri" w:cs="Calibri"/>
          <w:b/>
          <w:bCs/>
          <w:i/>
          <w:iCs/>
          <w:sz w:val="22"/>
          <w:szCs w:val="22"/>
        </w:rPr>
        <w:t>substantial harm to, or total loss of</w:t>
      </w:r>
      <w:r w:rsidRPr="009769E7">
        <w:rPr>
          <w:rFonts w:ascii="Calibri" w:hAnsi="Calibri" w:cs="Calibri"/>
          <w:i/>
          <w:iCs/>
          <w:sz w:val="22"/>
          <w:szCs w:val="22"/>
        </w:rPr>
        <w:t>, the significance of a designated heritage asset, permission should be refused, unless this harm is necessary to achieve substantial public benefits, or a number of criteria are met. Where less than substantial harm is identified paragraph 208 requires this harm to be weighed against the public benefits of the proposed development</w:t>
      </w:r>
    </w:p>
    <w:p w14:paraId="7D9F9CFA" w14:textId="0CAB07CD" w:rsidR="00A52F89" w:rsidRDefault="00A52F89" w:rsidP="002A25D7">
      <w:pPr>
        <w:jc w:val="both"/>
        <w:rPr>
          <w:rFonts w:ascii="Calibri" w:hAnsi="Calibri" w:cs="Calibri"/>
          <w:sz w:val="22"/>
          <w:szCs w:val="22"/>
        </w:rPr>
      </w:pPr>
      <w:r w:rsidRPr="00D132BD">
        <w:rPr>
          <w:rFonts w:ascii="Calibri" w:hAnsi="Calibri" w:cs="Calibri"/>
          <w:sz w:val="22"/>
          <w:szCs w:val="22"/>
        </w:rPr>
        <w:t xml:space="preserve">Para </w:t>
      </w:r>
      <w:r w:rsidR="00D132BD">
        <w:rPr>
          <w:rFonts w:ascii="Calibri" w:hAnsi="Calibri" w:cs="Calibri"/>
          <w:sz w:val="22"/>
          <w:szCs w:val="22"/>
        </w:rPr>
        <w:t xml:space="preserve">208 states that: </w:t>
      </w:r>
    </w:p>
    <w:p w14:paraId="6A495155" w14:textId="60A03CE2" w:rsidR="00D132BD" w:rsidRPr="00D132BD" w:rsidRDefault="00D132BD" w:rsidP="002A25D7">
      <w:pPr>
        <w:jc w:val="both"/>
        <w:rPr>
          <w:rFonts w:ascii="Calibri" w:hAnsi="Calibri" w:cs="Calibri"/>
          <w:i/>
          <w:iCs/>
          <w:sz w:val="22"/>
          <w:szCs w:val="22"/>
        </w:rPr>
      </w:pPr>
      <w:r w:rsidRPr="00D132BD">
        <w:rPr>
          <w:rFonts w:ascii="Calibri" w:hAnsi="Calibri" w:cs="Calibri"/>
          <w:i/>
          <w:iCs/>
          <w:color w:val="0B0C0C"/>
          <w:sz w:val="22"/>
          <w:szCs w:val="22"/>
          <w:shd w:val="clear" w:color="auto" w:fill="FFFFFF"/>
        </w:rPr>
        <w:t xml:space="preserve">‘Where a development proposal will lead to </w:t>
      </w:r>
      <w:r w:rsidRPr="00D132BD">
        <w:rPr>
          <w:rFonts w:ascii="Calibri" w:hAnsi="Calibri" w:cs="Calibri"/>
          <w:b/>
          <w:bCs/>
          <w:i/>
          <w:iCs/>
          <w:color w:val="0B0C0C"/>
          <w:sz w:val="22"/>
          <w:szCs w:val="22"/>
          <w:shd w:val="clear" w:color="auto" w:fill="FFFFFF"/>
        </w:rPr>
        <w:t>less than substantial harm</w:t>
      </w:r>
      <w:r w:rsidRPr="00D132BD">
        <w:rPr>
          <w:rFonts w:ascii="Calibri" w:hAnsi="Calibri" w:cs="Calibri"/>
          <w:i/>
          <w:iCs/>
          <w:color w:val="0B0C0C"/>
          <w:sz w:val="22"/>
          <w:szCs w:val="22"/>
          <w:shd w:val="clear" w:color="auto" w:fill="FFFFFF"/>
        </w:rPr>
        <w:t xml:space="preserve"> to the significance of a designated heritage asset, this harm should be weighed against the public benefits of the proposal including, where appropriate, securing its optimum viable use’.</w:t>
      </w:r>
    </w:p>
    <w:p w14:paraId="19385042" w14:textId="03C4809D" w:rsidR="002A25D7" w:rsidRPr="00493D1E" w:rsidRDefault="009769E7" w:rsidP="002A25D7">
      <w:pPr>
        <w:jc w:val="both"/>
        <w:rPr>
          <w:rFonts w:ascii="Calibri" w:hAnsi="Calibri" w:cs="Calibri"/>
          <w:sz w:val="22"/>
          <w:szCs w:val="22"/>
        </w:rPr>
      </w:pPr>
      <w:r>
        <w:rPr>
          <w:rFonts w:ascii="Calibri" w:hAnsi="Calibri" w:cs="Calibri"/>
          <w:sz w:val="22"/>
          <w:szCs w:val="22"/>
        </w:rPr>
        <w:t xml:space="preserve">Para 209 </w:t>
      </w:r>
      <w:r w:rsidR="00D132BD">
        <w:rPr>
          <w:rFonts w:ascii="Calibri" w:hAnsi="Calibri" w:cs="Calibri"/>
          <w:sz w:val="22"/>
          <w:szCs w:val="22"/>
        </w:rPr>
        <w:t xml:space="preserve">states that: </w:t>
      </w:r>
      <w:r>
        <w:rPr>
          <w:rFonts w:ascii="Calibri" w:hAnsi="Calibri" w:cs="Calibri"/>
          <w:sz w:val="22"/>
          <w:szCs w:val="22"/>
        </w:rPr>
        <w:t xml:space="preserve"> </w:t>
      </w:r>
    </w:p>
    <w:p w14:paraId="7FC35C5B" w14:textId="115A6D5E" w:rsidR="009A6F4C" w:rsidRPr="000C1B14" w:rsidRDefault="002A25D7" w:rsidP="00B12D34">
      <w:pPr>
        <w:jc w:val="both"/>
        <w:rPr>
          <w:rFonts w:ascii="Calibri" w:hAnsi="Calibri" w:cs="Calibri"/>
          <w:i/>
          <w:iCs/>
          <w:color w:val="0B0C0C"/>
          <w:sz w:val="22"/>
          <w:szCs w:val="22"/>
          <w:shd w:val="clear" w:color="auto" w:fill="FFFFFF"/>
        </w:rPr>
      </w:pPr>
      <w:r w:rsidRPr="00493D1E">
        <w:rPr>
          <w:rFonts w:ascii="Calibri" w:hAnsi="Calibri" w:cs="Calibri"/>
          <w:i/>
          <w:iCs/>
          <w:color w:val="0B0C0C"/>
          <w:sz w:val="22"/>
          <w:szCs w:val="22"/>
          <w:shd w:val="clear" w:color="auto" w:fill="FFFFFF"/>
        </w:rPr>
        <w:t xml:space="preserve">‘The effect of an application on the significance of a non-designated heritage asset should be </w:t>
      </w:r>
      <w:proofErr w:type="gramStart"/>
      <w:r w:rsidRPr="00493D1E">
        <w:rPr>
          <w:rFonts w:ascii="Calibri" w:hAnsi="Calibri" w:cs="Calibri"/>
          <w:i/>
          <w:iCs/>
          <w:color w:val="0B0C0C"/>
          <w:sz w:val="22"/>
          <w:szCs w:val="22"/>
          <w:shd w:val="clear" w:color="auto" w:fill="FFFFFF"/>
        </w:rPr>
        <w:t>taken into account</w:t>
      </w:r>
      <w:proofErr w:type="gramEnd"/>
      <w:r w:rsidRPr="00493D1E">
        <w:rPr>
          <w:rFonts w:ascii="Calibri" w:hAnsi="Calibri" w:cs="Calibri"/>
          <w:i/>
          <w:iCs/>
          <w:color w:val="0B0C0C"/>
          <w:sz w:val="22"/>
          <w:szCs w:val="22"/>
          <w:shd w:val="clear" w:color="auto" w:fill="FFFFFF"/>
        </w:rPr>
        <w:t xml:space="preserve"> in determining the application. In weighing applications that directly or indirectly affect non-designated heritage assets, a balanced judgement will be required having regard to the scale of any harm or loss and the significance of the heritage asset’. </w:t>
      </w:r>
    </w:p>
    <w:p w14:paraId="2DCC8E94" w14:textId="2486C394" w:rsidR="00B374C1" w:rsidRPr="00493D1E" w:rsidRDefault="00B374C1" w:rsidP="00B12D34">
      <w:pPr>
        <w:jc w:val="both"/>
        <w:rPr>
          <w:rFonts w:ascii="Calibri" w:hAnsi="Calibri" w:cs="Calibri"/>
          <w:b/>
          <w:bCs/>
          <w:sz w:val="22"/>
          <w:szCs w:val="22"/>
          <w:u w:val="single"/>
        </w:rPr>
      </w:pPr>
      <w:r w:rsidRPr="00493D1E">
        <w:rPr>
          <w:rFonts w:ascii="Calibri" w:hAnsi="Calibri" w:cs="Calibri"/>
          <w:b/>
          <w:bCs/>
          <w:sz w:val="22"/>
          <w:szCs w:val="22"/>
          <w:u w:val="single"/>
        </w:rPr>
        <w:t>Havant Borough Local Plan (Core Strategy 2011 and Allocations Plan 2014)</w:t>
      </w:r>
    </w:p>
    <w:p w14:paraId="198AAFE1" w14:textId="51BABED4" w:rsidR="00B374C1" w:rsidRPr="00493D1E" w:rsidRDefault="00B374C1" w:rsidP="00B12D34">
      <w:pPr>
        <w:jc w:val="both"/>
        <w:rPr>
          <w:rFonts w:ascii="Calibri" w:hAnsi="Calibri" w:cs="Calibri"/>
          <w:b/>
          <w:bCs/>
          <w:sz w:val="22"/>
          <w:szCs w:val="22"/>
        </w:rPr>
      </w:pPr>
      <w:r w:rsidRPr="00493D1E">
        <w:rPr>
          <w:rFonts w:ascii="Calibri" w:hAnsi="Calibri" w:cs="Calibri"/>
          <w:b/>
          <w:bCs/>
          <w:sz w:val="22"/>
          <w:szCs w:val="22"/>
        </w:rPr>
        <w:t xml:space="preserve">Policy CS11 </w:t>
      </w:r>
      <w:r w:rsidR="002F6E50" w:rsidRPr="00493D1E">
        <w:rPr>
          <w:rFonts w:ascii="Calibri" w:hAnsi="Calibri" w:cs="Calibri"/>
          <w:b/>
          <w:bCs/>
          <w:sz w:val="22"/>
          <w:szCs w:val="22"/>
        </w:rPr>
        <w:t>–</w:t>
      </w:r>
      <w:r w:rsidRPr="00493D1E">
        <w:rPr>
          <w:rFonts w:ascii="Calibri" w:hAnsi="Calibri" w:cs="Calibri"/>
          <w:b/>
          <w:bCs/>
          <w:sz w:val="22"/>
          <w:szCs w:val="22"/>
        </w:rPr>
        <w:t xml:space="preserve"> </w:t>
      </w:r>
      <w:r w:rsidR="002F6E50" w:rsidRPr="00493D1E">
        <w:rPr>
          <w:rFonts w:ascii="Calibri" w:hAnsi="Calibri" w:cs="Calibri"/>
          <w:b/>
          <w:bCs/>
          <w:sz w:val="22"/>
          <w:szCs w:val="22"/>
        </w:rPr>
        <w:t>Protecting and Enhancing the Special Environment and Heritage of the Havant Borough</w:t>
      </w:r>
    </w:p>
    <w:p w14:paraId="01A18618" w14:textId="0FD63D68" w:rsidR="00B374C1" w:rsidRPr="00493D1E" w:rsidRDefault="002F6E50" w:rsidP="00B374C1">
      <w:pPr>
        <w:jc w:val="both"/>
        <w:rPr>
          <w:rFonts w:ascii="Calibri" w:hAnsi="Calibri" w:cs="Calibri"/>
          <w:bCs/>
          <w:sz w:val="22"/>
          <w:szCs w:val="22"/>
        </w:rPr>
      </w:pPr>
      <w:r w:rsidRPr="00493D1E">
        <w:rPr>
          <w:rFonts w:ascii="Calibri" w:hAnsi="Calibri" w:cs="Calibri"/>
          <w:sz w:val="22"/>
          <w:szCs w:val="22"/>
        </w:rPr>
        <w:t xml:space="preserve">Policy CS11 (4) states that </w:t>
      </w:r>
      <w:r w:rsidR="00B374C1" w:rsidRPr="00493D1E">
        <w:rPr>
          <w:rFonts w:ascii="Calibri" w:hAnsi="Calibri" w:cs="Calibri"/>
          <w:bCs/>
          <w:sz w:val="22"/>
          <w:szCs w:val="22"/>
        </w:rPr>
        <w:t xml:space="preserve">planning permission will be granted for development </w:t>
      </w:r>
      <w:r w:rsidRPr="00493D1E">
        <w:rPr>
          <w:rFonts w:ascii="Calibri" w:hAnsi="Calibri" w:cs="Calibri"/>
          <w:bCs/>
          <w:sz w:val="22"/>
          <w:szCs w:val="22"/>
        </w:rPr>
        <w:t xml:space="preserve">which: </w:t>
      </w:r>
    </w:p>
    <w:p w14:paraId="2CA1E6DD" w14:textId="596C7417" w:rsidR="00B374C1" w:rsidRPr="00493D1E" w:rsidRDefault="002F6E50" w:rsidP="00B374C1">
      <w:pPr>
        <w:jc w:val="both"/>
        <w:rPr>
          <w:rFonts w:ascii="Calibri" w:hAnsi="Calibri" w:cs="Calibri"/>
          <w:i/>
          <w:iCs/>
          <w:sz w:val="22"/>
          <w:szCs w:val="22"/>
        </w:rPr>
      </w:pPr>
      <w:r w:rsidRPr="00493D1E">
        <w:rPr>
          <w:rFonts w:ascii="Calibri" w:hAnsi="Calibri" w:cs="Calibri"/>
          <w:i/>
          <w:iCs/>
          <w:sz w:val="22"/>
          <w:szCs w:val="22"/>
        </w:rPr>
        <w:t>‘</w:t>
      </w:r>
      <w:r w:rsidR="00B374C1" w:rsidRPr="00493D1E">
        <w:rPr>
          <w:rFonts w:ascii="Calibri" w:hAnsi="Calibri" w:cs="Calibri"/>
          <w:i/>
          <w:iCs/>
          <w:sz w:val="22"/>
          <w:szCs w:val="22"/>
        </w:rPr>
        <w:t>Protects and where appropriate enhances the borough’s statutory and non-statutory heritage designations by appropriately managing development in or adjacent to conservation areas, listed buildings, scheduled ancient monuments, historic parks and gardens, archaeological sites, buildings of local historic or architectural interest</w:t>
      </w:r>
      <w:r w:rsidRPr="00493D1E">
        <w:rPr>
          <w:rFonts w:ascii="Calibri" w:hAnsi="Calibri" w:cs="Calibri"/>
          <w:i/>
          <w:iCs/>
          <w:sz w:val="22"/>
          <w:szCs w:val="22"/>
        </w:rPr>
        <w:t>’</w:t>
      </w:r>
      <w:r w:rsidR="00B374C1" w:rsidRPr="00493D1E">
        <w:rPr>
          <w:rFonts w:ascii="Calibri" w:hAnsi="Calibri" w:cs="Calibri"/>
          <w:i/>
          <w:iCs/>
          <w:sz w:val="22"/>
          <w:szCs w:val="22"/>
        </w:rPr>
        <w:t>.</w:t>
      </w:r>
    </w:p>
    <w:p w14:paraId="640D0AA1" w14:textId="475EAA5A" w:rsidR="002F6E50" w:rsidRPr="00493D1E" w:rsidRDefault="002F6E50" w:rsidP="00B374C1">
      <w:pPr>
        <w:jc w:val="both"/>
        <w:rPr>
          <w:rFonts w:ascii="Calibri" w:hAnsi="Calibri" w:cs="Calibri"/>
          <w:b/>
          <w:bCs/>
          <w:sz w:val="22"/>
          <w:szCs w:val="22"/>
        </w:rPr>
      </w:pPr>
      <w:r w:rsidRPr="00493D1E">
        <w:rPr>
          <w:rFonts w:ascii="Calibri" w:hAnsi="Calibri" w:cs="Calibri"/>
          <w:b/>
          <w:bCs/>
          <w:sz w:val="22"/>
          <w:szCs w:val="22"/>
        </w:rPr>
        <w:t xml:space="preserve">Policy CS16 – High Quality Design </w:t>
      </w:r>
    </w:p>
    <w:p w14:paraId="2296A468" w14:textId="77777777" w:rsidR="00A75182" w:rsidRPr="00493D1E" w:rsidRDefault="00B374C1" w:rsidP="00B374C1">
      <w:pPr>
        <w:jc w:val="both"/>
        <w:rPr>
          <w:rFonts w:ascii="Calibri" w:hAnsi="Calibri" w:cs="Calibri"/>
          <w:sz w:val="22"/>
          <w:szCs w:val="22"/>
        </w:rPr>
      </w:pPr>
      <w:r w:rsidRPr="00493D1E">
        <w:rPr>
          <w:rFonts w:ascii="Calibri" w:hAnsi="Calibri" w:cs="Calibri"/>
          <w:sz w:val="22"/>
          <w:szCs w:val="22"/>
        </w:rPr>
        <w:t>Policy CP16 (1a) of the Core Strategy states</w:t>
      </w:r>
      <w:r w:rsidR="00A75182" w:rsidRPr="00493D1E">
        <w:rPr>
          <w:rFonts w:ascii="Calibri" w:hAnsi="Calibri" w:cs="Calibri"/>
          <w:sz w:val="22"/>
          <w:szCs w:val="22"/>
        </w:rPr>
        <w:t xml:space="preserve"> that: </w:t>
      </w:r>
      <w:r w:rsidRPr="00493D1E">
        <w:rPr>
          <w:rFonts w:ascii="Calibri" w:hAnsi="Calibri" w:cs="Calibri"/>
          <w:sz w:val="22"/>
          <w:szCs w:val="22"/>
        </w:rPr>
        <w:t xml:space="preserve"> </w:t>
      </w:r>
    </w:p>
    <w:p w14:paraId="5A228334" w14:textId="037B0C61" w:rsidR="00B374C1" w:rsidRPr="00493D1E" w:rsidRDefault="00B374C1" w:rsidP="00B374C1">
      <w:pPr>
        <w:jc w:val="both"/>
        <w:rPr>
          <w:rFonts w:ascii="Calibri" w:hAnsi="Calibri" w:cs="Calibri"/>
          <w:i/>
          <w:iCs/>
          <w:sz w:val="22"/>
          <w:szCs w:val="22"/>
        </w:rPr>
      </w:pPr>
      <w:r w:rsidRPr="00493D1E">
        <w:rPr>
          <w:rFonts w:ascii="Calibri" w:hAnsi="Calibri" w:cs="Calibri"/>
          <w:i/>
          <w:iCs/>
          <w:sz w:val="22"/>
          <w:szCs w:val="22"/>
        </w:rPr>
        <w:t xml:space="preserve">‘Planning permission will be granted for development that is designed to a high standard, which helps to create places where people want to live, </w:t>
      </w:r>
      <w:proofErr w:type="gramStart"/>
      <w:r w:rsidRPr="00493D1E">
        <w:rPr>
          <w:rFonts w:ascii="Calibri" w:hAnsi="Calibri" w:cs="Calibri"/>
          <w:i/>
          <w:iCs/>
          <w:sz w:val="22"/>
          <w:szCs w:val="22"/>
        </w:rPr>
        <w:t>work</w:t>
      </w:r>
      <w:proofErr w:type="gramEnd"/>
      <w:r w:rsidRPr="00493D1E">
        <w:rPr>
          <w:rFonts w:ascii="Calibri" w:hAnsi="Calibri" w:cs="Calibri"/>
          <w:i/>
          <w:iCs/>
          <w:sz w:val="22"/>
          <w:szCs w:val="22"/>
        </w:rPr>
        <w:t xml:space="preserve"> and relax. All development should demonstrate that its design:</w:t>
      </w:r>
    </w:p>
    <w:p w14:paraId="79103BD7" w14:textId="54F4535D" w:rsidR="00B374C1" w:rsidRPr="00493D1E" w:rsidRDefault="00B374C1"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 xml:space="preserve">Identifies and responds positively to existing features of natural, </w:t>
      </w:r>
      <w:proofErr w:type="gramStart"/>
      <w:r w:rsidRPr="00493D1E">
        <w:rPr>
          <w:rFonts w:ascii="Calibri" w:hAnsi="Calibri" w:cs="Calibri"/>
          <w:i/>
          <w:iCs/>
          <w:sz w:val="22"/>
          <w:szCs w:val="22"/>
        </w:rPr>
        <w:t>historic</w:t>
      </w:r>
      <w:proofErr w:type="gramEnd"/>
      <w:r w:rsidRPr="00493D1E">
        <w:rPr>
          <w:rFonts w:ascii="Calibri" w:hAnsi="Calibri" w:cs="Calibri"/>
          <w:i/>
          <w:iCs/>
          <w:sz w:val="22"/>
          <w:szCs w:val="22"/>
        </w:rPr>
        <w:t xml:space="preserve"> or local character within or close to the proposed development site’.</w:t>
      </w:r>
    </w:p>
    <w:p w14:paraId="16F6C0AB"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 xml:space="preserve">Integrates with existing local landscape features, promotes wildlife and biodiversity and/or applies characteristics of the local area into the design of a scheme wherever possible to create variety and </w:t>
      </w:r>
      <w:proofErr w:type="gramStart"/>
      <w:r w:rsidRPr="00493D1E">
        <w:rPr>
          <w:rFonts w:ascii="Calibri" w:hAnsi="Calibri" w:cs="Calibri"/>
          <w:i/>
          <w:iCs/>
          <w:sz w:val="22"/>
          <w:szCs w:val="22"/>
        </w:rPr>
        <w:t>interest;</w:t>
      </w:r>
      <w:proofErr w:type="gramEnd"/>
      <w:r w:rsidRPr="00493D1E">
        <w:rPr>
          <w:rFonts w:ascii="Calibri" w:hAnsi="Calibri" w:cs="Calibri"/>
          <w:i/>
          <w:iCs/>
          <w:sz w:val="22"/>
          <w:szCs w:val="22"/>
        </w:rPr>
        <w:t xml:space="preserve"> </w:t>
      </w:r>
    </w:p>
    <w:p w14:paraId="49E1B0FD"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lastRenderedPageBreak/>
        <w:t xml:space="preserve">Uses the characteristics of the locality to help inform the design of the new development including heights, massing, existing buildings lines, plot widths and depths, materials and proportions of windows and </w:t>
      </w:r>
      <w:proofErr w:type="gramStart"/>
      <w:r w:rsidRPr="00493D1E">
        <w:rPr>
          <w:rFonts w:ascii="Calibri" w:hAnsi="Calibri" w:cs="Calibri"/>
          <w:i/>
          <w:iCs/>
          <w:sz w:val="22"/>
          <w:szCs w:val="22"/>
        </w:rPr>
        <w:t>doors;</w:t>
      </w:r>
      <w:proofErr w:type="gramEnd"/>
      <w:r w:rsidRPr="00493D1E">
        <w:rPr>
          <w:rFonts w:ascii="Calibri" w:hAnsi="Calibri" w:cs="Calibri"/>
          <w:i/>
          <w:iCs/>
          <w:sz w:val="22"/>
          <w:szCs w:val="22"/>
        </w:rPr>
        <w:t xml:space="preserve"> </w:t>
      </w:r>
    </w:p>
    <w:p w14:paraId="6BB501BA"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 xml:space="preserve">Is well connected to and integrates with the immediate local area and the wider area by linking to existing pedestrian and cycle routes and encouraging people to use public transport where possible; and </w:t>
      </w:r>
    </w:p>
    <w:p w14:paraId="18E20928" w14:textId="3B06C9B6"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The development does not cause unacceptable harm to the amenity of neighbours through smell, the loss of privacy, outlook, noise and overlooking.</w:t>
      </w:r>
    </w:p>
    <w:p w14:paraId="7A6F54BD" w14:textId="10A44EEC" w:rsidR="00A75182" w:rsidRPr="00493D1E" w:rsidRDefault="00A75182" w:rsidP="00B374C1">
      <w:pPr>
        <w:jc w:val="both"/>
        <w:rPr>
          <w:rFonts w:ascii="Calibri" w:hAnsi="Calibri" w:cs="Calibri"/>
          <w:b/>
          <w:bCs/>
          <w:sz w:val="22"/>
          <w:szCs w:val="22"/>
        </w:rPr>
      </w:pPr>
      <w:r w:rsidRPr="00493D1E">
        <w:rPr>
          <w:rFonts w:ascii="Calibri" w:hAnsi="Calibri" w:cs="Calibri"/>
          <w:b/>
          <w:bCs/>
          <w:sz w:val="22"/>
          <w:szCs w:val="22"/>
        </w:rPr>
        <w:t xml:space="preserve">Policy DM20 (Allocations Plan) - Historic Assets </w:t>
      </w:r>
    </w:p>
    <w:p w14:paraId="48DC8A75" w14:textId="77777777" w:rsidR="00A75182" w:rsidRPr="00493D1E" w:rsidRDefault="00B374C1" w:rsidP="00B374C1">
      <w:pPr>
        <w:jc w:val="both"/>
        <w:rPr>
          <w:rFonts w:ascii="Calibri" w:hAnsi="Calibri" w:cs="Calibri"/>
          <w:sz w:val="22"/>
          <w:szCs w:val="22"/>
        </w:rPr>
      </w:pPr>
      <w:r w:rsidRPr="00493D1E">
        <w:rPr>
          <w:rFonts w:ascii="Calibri" w:hAnsi="Calibri" w:cs="Calibri"/>
          <w:sz w:val="22"/>
          <w:szCs w:val="22"/>
        </w:rPr>
        <w:t xml:space="preserve">Policy DM20 states </w:t>
      </w:r>
      <w:proofErr w:type="gramStart"/>
      <w:r w:rsidRPr="00493D1E">
        <w:rPr>
          <w:rFonts w:ascii="Calibri" w:hAnsi="Calibri" w:cs="Calibri"/>
          <w:sz w:val="22"/>
          <w:szCs w:val="22"/>
        </w:rPr>
        <w:t>that</w:t>
      </w:r>
      <w:r w:rsidR="00A75182" w:rsidRPr="00493D1E">
        <w:rPr>
          <w:rFonts w:ascii="Calibri" w:hAnsi="Calibri" w:cs="Calibri"/>
          <w:sz w:val="22"/>
          <w:szCs w:val="22"/>
        </w:rPr>
        <w:t>;</w:t>
      </w:r>
      <w:proofErr w:type="gramEnd"/>
      <w:r w:rsidR="00A75182" w:rsidRPr="00493D1E">
        <w:rPr>
          <w:rFonts w:ascii="Calibri" w:hAnsi="Calibri" w:cs="Calibri"/>
          <w:sz w:val="22"/>
          <w:szCs w:val="22"/>
        </w:rPr>
        <w:t xml:space="preserve"> </w:t>
      </w:r>
      <w:r w:rsidRPr="00493D1E">
        <w:rPr>
          <w:rFonts w:ascii="Calibri" w:hAnsi="Calibri" w:cs="Calibri"/>
          <w:sz w:val="22"/>
          <w:szCs w:val="22"/>
        </w:rPr>
        <w:t xml:space="preserve"> </w:t>
      </w:r>
    </w:p>
    <w:p w14:paraId="7ED49672" w14:textId="0B1200E1" w:rsidR="00B374C1" w:rsidRPr="00493D1E" w:rsidRDefault="00A75182" w:rsidP="00B374C1">
      <w:pPr>
        <w:jc w:val="both"/>
        <w:rPr>
          <w:rFonts w:ascii="Calibri" w:hAnsi="Calibri" w:cs="Calibri"/>
          <w:i/>
          <w:iCs/>
          <w:sz w:val="22"/>
          <w:szCs w:val="22"/>
        </w:rPr>
      </w:pPr>
      <w:r w:rsidRPr="00493D1E">
        <w:rPr>
          <w:rFonts w:ascii="Calibri" w:hAnsi="Calibri" w:cs="Calibri"/>
          <w:i/>
          <w:iCs/>
          <w:sz w:val="22"/>
          <w:szCs w:val="22"/>
        </w:rPr>
        <w:t>‘Planning</w:t>
      </w:r>
      <w:r w:rsidR="00B374C1" w:rsidRPr="00493D1E">
        <w:rPr>
          <w:rFonts w:ascii="Calibri" w:hAnsi="Calibri" w:cs="Calibri"/>
          <w:i/>
          <w:iCs/>
          <w:sz w:val="22"/>
          <w:szCs w:val="22"/>
        </w:rPr>
        <w:t xml:space="preserve"> permission will be granted for development proposals that conserves and enhances the historic assets of Havant. It also states that application which affect, or have the potential to affect, heritage assets are expected to provide a Heritage Statement that: </w:t>
      </w:r>
    </w:p>
    <w:p w14:paraId="3C9C909F"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1. Describe the significance of the asset and its setting, using appropriate expertise</w:t>
      </w:r>
    </w:p>
    <w:p w14:paraId="5D64EB51"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and where necessary original survey, at a level of detail proportionate to its</w:t>
      </w:r>
    </w:p>
    <w:p w14:paraId="03A46E2D"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significance and sufficient to understand the potential impact of the proposal.</w:t>
      </w:r>
    </w:p>
    <w:p w14:paraId="56236F77"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p>
    <w:p w14:paraId="28780E22"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2. Sets out the impact of the development on the heritage assets and mitigation that is</w:t>
      </w:r>
    </w:p>
    <w:p w14:paraId="20C30964"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 xml:space="preserve">proportionate to the impact and the significance of the heritage asset, </w:t>
      </w:r>
      <w:proofErr w:type="gramStart"/>
      <w:r w:rsidRPr="00493D1E">
        <w:rPr>
          <w:rFonts w:ascii="Calibri" w:hAnsi="Calibri" w:cs="Calibri"/>
          <w:bCs/>
          <w:i/>
          <w:iCs/>
          <w:sz w:val="22"/>
          <w:szCs w:val="22"/>
        </w:rPr>
        <w:t>including</w:t>
      </w:r>
      <w:proofErr w:type="gramEnd"/>
    </w:p>
    <w:p w14:paraId="121C9A92" w14:textId="552263BF" w:rsidR="009A6F4C" w:rsidRPr="000C1B14" w:rsidRDefault="00B374C1" w:rsidP="00B12D34">
      <w:pPr>
        <w:jc w:val="both"/>
        <w:rPr>
          <w:rFonts w:ascii="Calibri" w:hAnsi="Calibri" w:cs="Calibri"/>
          <w:i/>
          <w:iCs/>
          <w:sz w:val="22"/>
          <w:szCs w:val="22"/>
        </w:rPr>
      </w:pPr>
      <w:r w:rsidRPr="00493D1E">
        <w:rPr>
          <w:rFonts w:ascii="Calibri" w:hAnsi="Calibri" w:cs="Calibri"/>
          <w:bCs/>
          <w:i/>
          <w:iCs/>
          <w:sz w:val="22"/>
          <w:szCs w:val="22"/>
        </w:rPr>
        <w:t>where possible positive opportunities to conserve and enjoy heritage assets.</w:t>
      </w:r>
    </w:p>
    <w:p w14:paraId="519590EF" w14:textId="769A2223" w:rsidR="00B12D34" w:rsidRDefault="00B12D34" w:rsidP="00B12D34">
      <w:pPr>
        <w:jc w:val="both"/>
        <w:rPr>
          <w:rFonts w:ascii="Calibri" w:hAnsi="Calibri" w:cs="Calibri"/>
          <w:b/>
          <w:bCs/>
          <w:sz w:val="22"/>
          <w:szCs w:val="22"/>
        </w:rPr>
      </w:pPr>
      <w:r w:rsidRPr="00493D1E">
        <w:rPr>
          <w:rFonts w:ascii="Calibri" w:hAnsi="Calibri" w:cs="Calibri"/>
          <w:b/>
          <w:bCs/>
          <w:sz w:val="22"/>
          <w:szCs w:val="22"/>
          <w:highlight w:val="lightGray"/>
        </w:rPr>
        <w:t xml:space="preserve">Assessment </w:t>
      </w:r>
    </w:p>
    <w:p w14:paraId="353D770B" w14:textId="120C9EBD" w:rsidR="005802BC" w:rsidRDefault="005802BC" w:rsidP="00B12D34">
      <w:pPr>
        <w:jc w:val="both"/>
        <w:rPr>
          <w:rFonts w:ascii="Calibri" w:hAnsi="Calibri" w:cs="Calibri"/>
          <w:kern w:val="0"/>
          <w:sz w:val="22"/>
          <w:szCs w:val="22"/>
        </w:rPr>
      </w:pPr>
      <w:r>
        <w:rPr>
          <w:rFonts w:ascii="Calibri" w:hAnsi="Calibri" w:cs="Calibri"/>
          <w:kern w:val="0"/>
          <w:sz w:val="22"/>
          <w:szCs w:val="22"/>
        </w:rPr>
        <w:t>A heritage statement has been submitted with the application in accordance with Policy DM20 of the Local Plan.</w:t>
      </w:r>
    </w:p>
    <w:p w14:paraId="07707455" w14:textId="1B3FE607" w:rsidR="006E18D9" w:rsidRDefault="006E18D9" w:rsidP="00B12D34">
      <w:pPr>
        <w:jc w:val="both"/>
        <w:rPr>
          <w:rFonts w:ascii="Calibri" w:hAnsi="Calibri" w:cs="Calibri"/>
          <w:kern w:val="0"/>
          <w:sz w:val="22"/>
          <w:szCs w:val="22"/>
        </w:rPr>
      </w:pPr>
      <w:r>
        <w:rPr>
          <w:rFonts w:ascii="Calibri" w:hAnsi="Calibri" w:cs="Calibri"/>
          <w:kern w:val="0"/>
          <w:sz w:val="22"/>
          <w:szCs w:val="22"/>
        </w:rPr>
        <w:t xml:space="preserve">The proposal is to extend the property at the side and rear to increase the accommodation space at ground floor level which is currently restricted. </w:t>
      </w:r>
    </w:p>
    <w:p w14:paraId="286006A4" w14:textId="46D948E1" w:rsidR="006E18D9" w:rsidRDefault="006E18D9" w:rsidP="00B12D34">
      <w:pPr>
        <w:jc w:val="both"/>
        <w:rPr>
          <w:rFonts w:ascii="Calibri" w:hAnsi="Calibri" w:cs="Calibri"/>
          <w:b/>
          <w:bCs/>
          <w:sz w:val="22"/>
          <w:szCs w:val="22"/>
        </w:rPr>
      </w:pPr>
      <w:r>
        <w:rPr>
          <w:rFonts w:ascii="Calibri" w:hAnsi="Calibri" w:cs="Calibri"/>
          <w:kern w:val="0"/>
          <w:sz w:val="22"/>
          <w:szCs w:val="22"/>
        </w:rPr>
        <w:t xml:space="preserve">The proposed extension is of a traditional design featuring a pitched roof, with small roof light windows. Matching materials are proposed including brick and slate tiles. The proposal would not be visible from the streetscene but nonetheless, the design </w:t>
      </w:r>
      <w:proofErr w:type="gramStart"/>
      <w:r>
        <w:rPr>
          <w:rFonts w:ascii="Calibri" w:hAnsi="Calibri" w:cs="Calibri"/>
          <w:kern w:val="0"/>
          <w:sz w:val="22"/>
          <w:szCs w:val="22"/>
        </w:rPr>
        <w:t>is considered to be</w:t>
      </w:r>
      <w:proofErr w:type="gramEnd"/>
      <w:r>
        <w:rPr>
          <w:rFonts w:ascii="Calibri" w:hAnsi="Calibri" w:cs="Calibri"/>
          <w:kern w:val="0"/>
          <w:sz w:val="22"/>
          <w:szCs w:val="22"/>
        </w:rPr>
        <w:t xml:space="preserve"> in character with the main building. </w:t>
      </w:r>
    </w:p>
    <w:p w14:paraId="67E6C8B5" w14:textId="281D87AA" w:rsidR="00CD0EBD" w:rsidRDefault="00F4541D" w:rsidP="00B20E53">
      <w:pPr>
        <w:pStyle w:val="Default"/>
        <w:jc w:val="both"/>
        <w:rPr>
          <w:sz w:val="22"/>
          <w:szCs w:val="22"/>
        </w:rPr>
      </w:pPr>
      <w:r>
        <w:rPr>
          <w:bCs/>
          <w:sz w:val="22"/>
          <w:szCs w:val="22"/>
        </w:rPr>
        <w:t xml:space="preserve">Overall, </w:t>
      </w:r>
      <w:r w:rsidR="00B20E53">
        <w:rPr>
          <w:bCs/>
          <w:sz w:val="22"/>
          <w:szCs w:val="22"/>
        </w:rPr>
        <w:t xml:space="preserve">it is considered that the proposal would not result in harm to the significance of the </w:t>
      </w:r>
      <w:r w:rsidR="006E18D9">
        <w:rPr>
          <w:bCs/>
          <w:sz w:val="22"/>
          <w:szCs w:val="22"/>
        </w:rPr>
        <w:t xml:space="preserve">Lymbourn Road </w:t>
      </w:r>
      <w:r w:rsidR="00B20E53">
        <w:rPr>
          <w:bCs/>
          <w:sz w:val="22"/>
          <w:szCs w:val="22"/>
        </w:rPr>
        <w:t xml:space="preserve">Conservation Area </w:t>
      </w:r>
      <w:r w:rsidR="00CD0EBD">
        <w:rPr>
          <w:sz w:val="22"/>
          <w:szCs w:val="22"/>
        </w:rPr>
        <w:t xml:space="preserve">and is in accordance with Section 72 of the Planning (Listed Building and Conservation Areas) Act 1990 and the relevant parts of the, the NPPF and the adopted Local Plan. </w:t>
      </w:r>
    </w:p>
    <w:p w14:paraId="72A3E660" w14:textId="77777777" w:rsidR="003C64BA" w:rsidRDefault="003C64BA" w:rsidP="00B12D34">
      <w:pPr>
        <w:jc w:val="both"/>
        <w:rPr>
          <w:rFonts w:ascii="Calibri" w:hAnsi="Calibri" w:cs="Calibri"/>
          <w:b/>
          <w:bCs/>
          <w:color w:val="0B0C0C"/>
          <w:sz w:val="22"/>
          <w:szCs w:val="22"/>
          <w:highlight w:val="lightGray"/>
          <w:shd w:val="clear" w:color="auto" w:fill="FFFFFF"/>
        </w:rPr>
      </w:pPr>
    </w:p>
    <w:p w14:paraId="121E34D5" w14:textId="77777777" w:rsidR="005802BC" w:rsidRDefault="00A93B74" w:rsidP="00E82AE8">
      <w:pPr>
        <w:jc w:val="both"/>
        <w:rPr>
          <w:rFonts w:ascii="Calibri" w:hAnsi="Calibri" w:cs="Calibri"/>
          <w:b/>
          <w:bCs/>
          <w:color w:val="0B0C0C"/>
          <w:sz w:val="22"/>
          <w:szCs w:val="22"/>
          <w:shd w:val="clear" w:color="auto" w:fill="FFFFFF"/>
        </w:rPr>
      </w:pPr>
      <w:r w:rsidRPr="00493D1E">
        <w:rPr>
          <w:rFonts w:ascii="Calibri" w:hAnsi="Calibri" w:cs="Calibri"/>
          <w:b/>
          <w:bCs/>
          <w:color w:val="0B0C0C"/>
          <w:sz w:val="22"/>
          <w:szCs w:val="22"/>
          <w:highlight w:val="lightGray"/>
          <w:shd w:val="clear" w:color="auto" w:fill="FFFFFF"/>
        </w:rPr>
        <w:t>Conclusion</w:t>
      </w:r>
    </w:p>
    <w:p w14:paraId="1AF67404" w14:textId="306AF3F8" w:rsidR="009F709F" w:rsidRPr="005802BC" w:rsidRDefault="009F709F" w:rsidP="00E82AE8">
      <w:pPr>
        <w:jc w:val="both"/>
        <w:rPr>
          <w:rFonts w:ascii="Calibri" w:hAnsi="Calibri" w:cs="Calibri"/>
          <w:b/>
          <w:bCs/>
          <w:color w:val="0B0C0C"/>
          <w:sz w:val="22"/>
          <w:szCs w:val="22"/>
          <w:shd w:val="clear" w:color="auto" w:fill="FFFFFF"/>
        </w:rPr>
      </w:pPr>
      <w:r>
        <w:rPr>
          <w:rFonts w:ascii="Calibri" w:hAnsi="Calibri" w:cs="Calibri"/>
          <w:b/>
          <w:bCs/>
          <w:color w:val="0B0C0C"/>
          <w:sz w:val="22"/>
          <w:szCs w:val="22"/>
          <w:shd w:val="clear" w:color="auto" w:fill="FFFFFF"/>
        </w:rPr>
        <w:t xml:space="preserve">NO </w:t>
      </w:r>
      <w:r w:rsidR="00A93B74" w:rsidRPr="00493D1E">
        <w:rPr>
          <w:rFonts w:ascii="Calibri" w:hAnsi="Calibri" w:cs="Calibri"/>
          <w:b/>
          <w:bCs/>
          <w:color w:val="0B0C0C"/>
          <w:sz w:val="22"/>
          <w:szCs w:val="22"/>
          <w:shd w:val="clear" w:color="auto" w:fill="FFFFFF"/>
        </w:rPr>
        <w:t xml:space="preserve">OBJECTION </w:t>
      </w:r>
    </w:p>
    <w:sectPr w:rsidR="009F709F" w:rsidRPr="005802B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D8312D"/>
    <w:multiLevelType w:val="hybridMultilevel"/>
    <w:tmpl w:val="9AE280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D9D1D8D"/>
    <w:multiLevelType w:val="hybridMultilevel"/>
    <w:tmpl w:val="9188B6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8AE202A"/>
    <w:multiLevelType w:val="hybridMultilevel"/>
    <w:tmpl w:val="1F4AB8FA"/>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ADE6CAE"/>
    <w:multiLevelType w:val="hybridMultilevel"/>
    <w:tmpl w:val="E9EEE0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18934EC"/>
    <w:multiLevelType w:val="hybridMultilevel"/>
    <w:tmpl w:val="E0164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BB50ACD"/>
    <w:multiLevelType w:val="hybridMultilevel"/>
    <w:tmpl w:val="9F481D1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F31690C"/>
    <w:multiLevelType w:val="hybridMultilevel"/>
    <w:tmpl w:val="7A56BC20"/>
    <w:lvl w:ilvl="0" w:tplc="C9CC50BA">
      <w:start w:val="6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11923702">
    <w:abstractNumId w:val="1"/>
  </w:num>
  <w:num w:numId="2" w16cid:durableId="751972753">
    <w:abstractNumId w:val="5"/>
  </w:num>
  <w:num w:numId="3" w16cid:durableId="1809206664">
    <w:abstractNumId w:val="2"/>
  </w:num>
  <w:num w:numId="4" w16cid:durableId="2032418738">
    <w:abstractNumId w:val="4"/>
  </w:num>
  <w:num w:numId="5" w16cid:durableId="887572044">
    <w:abstractNumId w:val="0"/>
  </w:num>
  <w:num w:numId="6" w16cid:durableId="315845238">
    <w:abstractNumId w:val="3"/>
  </w:num>
  <w:num w:numId="7" w16cid:durableId="33358137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D34"/>
    <w:rsid w:val="00003B6E"/>
    <w:rsid w:val="00023651"/>
    <w:rsid w:val="000B3B84"/>
    <w:rsid w:val="000C1B14"/>
    <w:rsid w:val="0012767B"/>
    <w:rsid w:val="00136C77"/>
    <w:rsid w:val="0015759D"/>
    <w:rsid w:val="00195259"/>
    <w:rsid w:val="00214695"/>
    <w:rsid w:val="0021656A"/>
    <w:rsid w:val="0025513C"/>
    <w:rsid w:val="002A25D7"/>
    <w:rsid w:val="002D7F26"/>
    <w:rsid w:val="002E5E23"/>
    <w:rsid w:val="002F6E50"/>
    <w:rsid w:val="0033167B"/>
    <w:rsid w:val="00343DA8"/>
    <w:rsid w:val="003C64BA"/>
    <w:rsid w:val="00463DFD"/>
    <w:rsid w:val="00474EE8"/>
    <w:rsid w:val="00493D1E"/>
    <w:rsid w:val="004C6E91"/>
    <w:rsid w:val="004E41DC"/>
    <w:rsid w:val="005225AA"/>
    <w:rsid w:val="005802BC"/>
    <w:rsid w:val="00580A86"/>
    <w:rsid w:val="005A2565"/>
    <w:rsid w:val="00616599"/>
    <w:rsid w:val="00630AED"/>
    <w:rsid w:val="006E18D9"/>
    <w:rsid w:val="00767FF8"/>
    <w:rsid w:val="0079536D"/>
    <w:rsid w:val="007B2A4E"/>
    <w:rsid w:val="00874D64"/>
    <w:rsid w:val="008A2273"/>
    <w:rsid w:val="008D7E97"/>
    <w:rsid w:val="009070B4"/>
    <w:rsid w:val="009369E8"/>
    <w:rsid w:val="00970669"/>
    <w:rsid w:val="009769E7"/>
    <w:rsid w:val="00985F88"/>
    <w:rsid w:val="009A6F4C"/>
    <w:rsid w:val="009B1742"/>
    <w:rsid w:val="009F709F"/>
    <w:rsid w:val="00A30910"/>
    <w:rsid w:val="00A52F89"/>
    <w:rsid w:val="00A75182"/>
    <w:rsid w:val="00A93B74"/>
    <w:rsid w:val="00AE5D09"/>
    <w:rsid w:val="00B12D34"/>
    <w:rsid w:val="00B20E53"/>
    <w:rsid w:val="00B374C1"/>
    <w:rsid w:val="00BC03D2"/>
    <w:rsid w:val="00C12ECA"/>
    <w:rsid w:val="00C319BF"/>
    <w:rsid w:val="00C37ED6"/>
    <w:rsid w:val="00CD0EBD"/>
    <w:rsid w:val="00CD18F5"/>
    <w:rsid w:val="00D132BD"/>
    <w:rsid w:val="00D376DF"/>
    <w:rsid w:val="00E439DC"/>
    <w:rsid w:val="00E82AE8"/>
    <w:rsid w:val="00E96105"/>
    <w:rsid w:val="00F24ED8"/>
    <w:rsid w:val="00F4541D"/>
    <w:rsid w:val="00F76CB2"/>
    <w:rsid w:val="00F773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8D60F"/>
  <w15:chartTrackingRefBased/>
  <w15:docId w15:val="{539CBEC6-EC35-4B2A-AED6-E5F1C7F3E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2D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2D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2D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2D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2D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2D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2D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2D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2D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2D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2D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2D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2D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2D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2D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2D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2D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2D34"/>
    <w:rPr>
      <w:rFonts w:eastAsiaTheme="majorEastAsia" w:cstheme="majorBidi"/>
      <w:color w:val="272727" w:themeColor="text1" w:themeTint="D8"/>
    </w:rPr>
  </w:style>
  <w:style w:type="paragraph" w:styleId="Title">
    <w:name w:val="Title"/>
    <w:basedOn w:val="Normal"/>
    <w:next w:val="Normal"/>
    <w:link w:val="TitleChar"/>
    <w:uiPriority w:val="10"/>
    <w:qFormat/>
    <w:rsid w:val="00B12D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2D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2D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2D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2D34"/>
    <w:pPr>
      <w:spacing w:before="160"/>
      <w:jc w:val="center"/>
    </w:pPr>
    <w:rPr>
      <w:i/>
      <w:iCs/>
      <w:color w:val="404040" w:themeColor="text1" w:themeTint="BF"/>
    </w:rPr>
  </w:style>
  <w:style w:type="character" w:customStyle="1" w:styleId="QuoteChar">
    <w:name w:val="Quote Char"/>
    <w:basedOn w:val="DefaultParagraphFont"/>
    <w:link w:val="Quote"/>
    <w:uiPriority w:val="29"/>
    <w:rsid w:val="00B12D34"/>
    <w:rPr>
      <w:i/>
      <w:iCs/>
      <w:color w:val="404040" w:themeColor="text1" w:themeTint="BF"/>
    </w:rPr>
  </w:style>
  <w:style w:type="paragraph" w:styleId="ListParagraph">
    <w:name w:val="List Paragraph"/>
    <w:basedOn w:val="Normal"/>
    <w:uiPriority w:val="34"/>
    <w:qFormat/>
    <w:rsid w:val="00B12D34"/>
    <w:pPr>
      <w:ind w:left="720"/>
      <w:contextualSpacing/>
    </w:pPr>
  </w:style>
  <w:style w:type="character" w:styleId="IntenseEmphasis">
    <w:name w:val="Intense Emphasis"/>
    <w:basedOn w:val="DefaultParagraphFont"/>
    <w:uiPriority w:val="21"/>
    <w:qFormat/>
    <w:rsid w:val="00B12D34"/>
    <w:rPr>
      <w:i/>
      <w:iCs/>
      <w:color w:val="0F4761" w:themeColor="accent1" w:themeShade="BF"/>
    </w:rPr>
  </w:style>
  <w:style w:type="paragraph" w:styleId="IntenseQuote">
    <w:name w:val="Intense Quote"/>
    <w:basedOn w:val="Normal"/>
    <w:next w:val="Normal"/>
    <w:link w:val="IntenseQuoteChar"/>
    <w:uiPriority w:val="30"/>
    <w:qFormat/>
    <w:rsid w:val="00B12D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2D34"/>
    <w:rPr>
      <w:i/>
      <w:iCs/>
      <w:color w:val="0F4761" w:themeColor="accent1" w:themeShade="BF"/>
    </w:rPr>
  </w:style>
  <w:style w:type="character" w:styleId="IntenseReference">
    <w:name w:val="Intense Reference"/>
    <w:basedOn w:val="DefaultParagraphFont"/>
    <w:uiPriority w:val="32"/>
    <w:qFormat/>
    <w:rsid w:val="00B12D34"/>
    <w:rPr>
      <w:b/>
      <w:bCs/>
      <w:smallCaps/>
      <w:color w:val="0F4761" w:themeColor="accent1" w:themeShade="BF"/>
      <w:spacing w:val="5"/>
    </w:rPr>
  </w:style>
  <w:style w:type="paragraph" w:customStyle="1" w:styleId="Normal0">
    <w:name w:val="[Normal]"/>
    <w:rsid w:val="00970669"/>
    <w:pPr>
      <w:autoSpaceDE w:val="0"/>
      <w:autoSpaceDN w:val="0"/>
      <w:adjustRightInd w:val="0"/>
      <w:spacing w:after="0" w:line="240" w:lineRule="auto"/>
    </w:pPr>
    <w:rPr>
      <w:rFonts w:ascii="Arial" w:hAnsi="Arial" w:cs="Arial"/>
      <w:kern w:val="0"/>
    </w:rPr>
  </w:style>
  <w:style w:type="character" w:styleId="CommentReference">
    <w:name w:val="annotation reference"/>
    <w:basedOn w:val="DefaultParagraphFont"/>
    <w:uiPriority w:val="99"/>
    <w:semiHidden/>
    <w:unhideWhenUsed/>
    <w:rsid w:val="0012767B"/>
    <w:rPr>
      <w:sz w:val="16"/>
      <w:szCs w:val="16"/>
    </w:rPr>
  </w:style>
  <w:style w:type="paragraph" w:styleId="CommentText">
    <w:name w:val="annotation text"/>
    <w:basedOn w:val="Normal"/>
    <w:link w:val="CommentTextChar"/>
    <w:uiPriority w:val="99"/>
    <w:unhideWhenUsed/>
    <w:rsid w:val="0012767B"/>
    <w:pPr>
      <w:spacing w:line="240" w:lineRule="auto"/>
    </w:pPr>
    <w:rPr>
      <w:sz w:val="20"/>
      <w:szCs w:val="20"/>
    </w:rPr>
  </w:style>
  <w:style w:type="character" w:customStyle="1" w:styleId="CommentTextChar">
    <w:name w:val="Comment Text Char"/>
    <w:basedOn w:val="DefaultParagraphFont"/>
    <w:link w:val="CommentText"/>
    <w:uiPriority w:val="99"/>
    <w:rsid w:val="0012767B"/>
    <w:rPr>
      <w:sz w:val="20"/>
      <w:szCs w:val="20"/>
    </w:rPr>
  </w:style>
  <w:style w:type="paragraph" w:styleId="CommentSubject">
    <w:name w:val="annotation subject"/>
    <w:basedOn w:val="CommentText"/>
    <w:next w:val="CommentText"/>
    <w:link w:val="CommentSubjectChar"/>
    <w:uiPriority w:val="99"/>
    <w:semiHidden/>
    <w:unhideWhenUsed/>
    <w:rsid w:val="0012767B"/>
    <w:rPr>
      <w:b/>
      <w:bCs/>
    </w:rPr>
  </w:style>
  <w:style w:type="character" w:customStyle="1" w:styleId="CommentSubjectChar">
    <w:name w:val="Comment Subject Char"/>
    <w:basedOn w:val="CommentTextChar"/>
    <w:link w:val="CommentSubject"/>
    <w:uiPriority w:val="99"/>
    <w:semiHidden/>
    <w:rsid w:val="0012767B"/>
    <w:rPr>
      <w:b/>
      <w:bCs/>
      <w:sz w:val="20"/>
      <w:szCs w:val="20"/>
    </w:rPr>
  </w:style>
  <w:style w:type="paragraph" w:styleId="Revision">
    <w:name w:val="Revision"/>
    <w:hidden/>
    <w:uiPriority w:val="99"/>
    <w:semiHidden/>
    <w:rsid w:val="0012767B"/>
    <w:pPr>
      <w:spacing w:after="0" w:line="240" w:lineRule="auto"/>
    </w:pPr>
  </w:style>
  <w:style w:type="paragraph" w:styleId="NormalWeb">
    <w:name w:val="Normal (Web)"/>
    <w:basedOn w:val="Normal"/>
    <w:uiPriority w:val="99"/>
    <w:unhideWhenUsed/>
    <w:rsid w:val="000C1B14"/>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Default">
    <w:name w:val="Default"/>
    <w:rsid w:val="00F4541D"/>
    <w:pPr>
      <w:autoSpaceDE w:val="0"/>
      <w:autoSpaceDN w:val="0"/>
      <w:adjustRightInd w:val="0"/>
      <w:spacing w:after="0" w:line="240" w:lineRule="auto"/>
    </w:pPr>
    <w:rPr>
      <w:rFonts w:ascii="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600896">
      <w:bodyDiv w:val="1"/>
      <w:marLeft w:val="0"/>
      <w:marRight w:val="0"/>
      <w:marTop w:val="0"/>
      <w:marBottom w:val="0"/>
      <w:divBdr>
        <w:top w:val="none" w:sz="0" w:space="0" w:color="auto"/>
        <w:left w:val="none" w:sz="0" w:space="0" w:color="auto"/>
        <w:bottom w:val="none" w:sz="0" w:space="0" w:color="auto"/>
        <w:right w:val="none" w:sz="0" w:space="0" w:color="auto"/>
      </w:divBdr>
    </w:div>
    <w:div w:id="1240600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9B78FD-AF5D-4246-843D-CE3587633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1034</Words>
  <Characters>5895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McMurray</dc:creator>
  <cp:keywords/>
  <dc:description/>
  <cp:lastModifiedBy>McMurray, Rachael</cp:lastModifiedBy>
  <cp:revision>2</cp:revision>
  <dcterms:created xsi:type="dcterms:W3CDTF">2024-10-18T10:34:00Z</dcterms:created>
  <dcterms:modified xsi:type="dcterms:W3CDTF">2024-10-18T10:34:00Z</dcterms:modified>
</cp:coreProperties>
</file>