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C635142" w:rsidR="00741821" w:rsidRPr="00B25729" w:rsidRDefault="00CB0E4F" w:rsidP="00741821">
            <w:pPr>
              <w:spacing w:line="276" w:lineRule="auto"/>
              <w:rPr>
                <w:rFonts w:ascii="Arial" w:hAnsi="Arial" w:cs="Arial"/>
              </w:rPr>
            </w:pPr>
            <w:r>
              <w:rPr>
                <w:rFonts w:ascii="Arial" w:hAnsi="Arial" w:cs="Arial"/>
              </w:rPr>
              <w:t>2</w:t>
            </w:r>
            <w:r w:rsidR="00BB7B5C">
              <w:rPr>
                <w:rFonts w:ascii="Arial" w:hAnsi="Arial" w:cs="Arial"/>
              </w:rPr>
              <w:t>9</w:t>
            </w:r>
            <w:r w:rsidRPr="00CB0E4F">
              <w:rPr>
                <w:rFonts w:ascii="Arial" w:hAnsi="Arial" w:cs="Arial"/>
                <w:vertAlign w:val="superscript"/>
              </w:rPr>
              <w:t>th</w:t>
            </w:r>
            <w:r>
              <w:rPr>
                <w:rFonts w:ascii="Arial" w:hAnsi="Arial" w:cs="Arial"/>
              </w:rPr>
              <w:t xml:space="preserve"> July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2645D8C3" w:rsidR="00317486" w:rsidRPr="00B25729" w:rsidRDefault="0097624D" w:rsidP="00741821">
            <w:pPr>
              <w:spacing w:line="276" w:lineRule="auto"/>
              <w:rPr>
                <w:rFonts w:ascii="Arial" w:hAnsi="Arial" w:cs="Arial"/>
              </w:rPr>
            </w:pPr>
            <w:r>
              <w:rPr>
                <w:rFonts w:ascii="Arial" w:hAnsi="Arial" w:cs="Arial"/>
              </w:rPr>
              <w:t>11</w:t>
            </w:r>
            <w:r w:rsidRPr="0097624D">
              <w:rPr>
                <w:rFonts w:ascii="Arial" w:hAnsi="Arial" w:cs="Arial"/>
                <w:vertAlign w:val="superscript"/>
              </w:rPr>
              <w:t>th</w:t>
            </w:r>
            <w:r>
              <w:rPr>
                <w:rFonts w:ascii="Arial" w:hAnsi="Arial" w:cs="Arial"/>
              </w:rPr>
              <w:t xml:space="preserve"> November 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ABB737D" w:rsidR="001071FC" w:rsidRPr="00B25729" w:rsidRDefault="00CB0E4F" w:rsidP="00741821">
            <w:pPr>
              <w:spacing w:line="276" w:lineRule="auto"/>
              <w:rPr>
                <w:rFonts w:ascii="Arial" w:hAnsi="Arial" w:cs="Arial"/>
              </w:rPr>
            </w:pPr>
            <w:r>
              <w:rPr>
                <w:rFonts w:ascii="Arial" w:hAnsi="Arial" w:cs="Arial"/>
              </w:rPr>
              <w:t>APP/24/00281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21D2032" w:rsidR="00D873D9" w:rsidRPr="00B25729" w:rsidRDefault="00CB0E4F" w:rsidP="00741821">
            <w:pPr>
              <w:spacing w:line="276" w:lineRule="auto"/>
              <w:rPr>
                <w:rFonts w:ascii="Arial" w:hAnsi="Arial" w:cs="Arial"/>
              </w:rPr>
            </w:pPr>
            <w:r>
              <w:rPr>
                <w:rFonts w:ascii="Arial" w:hAnsi="Arial" w:cs="Arial"/>
              </w:rPr>
              <w:t>49B Bedhampton Hill, Havant, PO9 3JN</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3C2A769" w14:textId="77777777" w:rsidR="001071FC" w:rsidRDefault="00CB0E4F" w:rsidP="005B3254">
            <w:pPr>
              <w:pStyle w:val="Normal0"/>
            </w:pPr>
            <w:r>
              <w:t>Proposed Conversion of existing dwelling into 3No self contained apartments</w:t>
            </w:r>
          </w:p>
          <w:p w14:paraId="451786E1" w14:textId="6F02F017" w:rsidR="00CB0E4F" w:rsidRPr="00CB0E4F" w:rsidRDefault="00CB0E4F" w:rsidP="005B3254">
            <w:pPr>
              <w:pStyle w:val="Normal0"/>
              <w:rPr>
                <w:i/>
                <w:iCs/>
              </w:rPr>
            </w:pPr>
            <w:r w:rsidRPr="00CB0E4F">
              <w:rPr>
                <w:i/>
                <w:iCs/>
                <w:highlight w:val="yellow"/>
                <w:u w:val="single"/>
              </w:rPr>
              <w:t>Officer Note</w:t>
            </w:r>
            <w:r w:rsidRPr="00CB0E4F">
              <w:rPr>
                <w:i/>
                <w:iCs/>
                <w:highlight w:val="yellow"/>
              </w:rPr>
              <w:t xml:space="preserve"> – this application would result in the loss of a 3 bed dwelling and would create </w:t>
            </w:r>
            <w:r w:rsidR="0059130A">
              <w:rPr>
                <w:i/>
                <w:iCs/>
                <w:highlight w:val="yellow"/>
              </w:rPr>
              <w:t>2</w:t>
            </w:r>
            <w:r w:rsidRPr="00CB0E4F">
              <w:rPr>
                <w:i/>
                <w:iCs/>
                <w:highlight w:val="yellow"/>
              </w:rPr>
              <w:t>No x 2 bed apartment</w:t>
            </w:r>
            <w:r w:rsidR="0059130A">
              <w:rPr>
                <w:i/>
                <w:iCs/>
                <w:highlight w:val="yellow"/>
              </w:rPr>
              <w:t>s</w:t>
            </w:r>
            <w:r w:rsidRPr="00CB0E4F">
              <w:rPr>
                <w:i/>
                <w:iCs/>
                <w:highlight w:val="yellow"/>
              </w:rPr>
              <w:t xml:space="preserve"> and </w:t>
            </w:r>
            <w:r w:rsidR="0059130A">
              <w:rPr>
                <w:i/>
                <w:iCs/>
                <w:highlight w:val="yellow"/>
              </w:rPr>
              <w:t>1</w:t>
            </w:r>
            <w:r w:rsidRPr="00CB0E4F">
              <w:rPr>
                <w:i/>
                <w:iCs/>
                <w:highlight w:val="yellow"/>
              </w:rPr>
              <w:t>No x 1 bed apartment, which for mitigation purposes is considered equivalent to a net gain of 2 residential units</w:t>
            </w:r>
            <w:r w:rsidR="0059130A">
              <w:rPr>
                <w:i/>
                <w:iCs/>
                <w:highlight w:val="yellow"/>
              </w:rPr>
              <w:t>, and giving the applicant the benefit of losing the larger unit this will be treated as 1No x 1 bed and 1No x 2 bed for SRMS purposes</w:t>
            </w:r>
            <w:r w:rsidRPr="00CB0E4F">
              <w:rPr>
                <w:i/>
                <w:iCs/>
                <w:highlight w:val="yellow"/>
              </w:rPr>
              <w:t>.</w:t>
            </w:r>
            <w:r w:rsidRPr="00CB0E4F">
              <w:rPr>
                <w:i/>
                <w:iCs/>
              </w:rPr>
              <w:t xml:space="preserve">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2CD4DFD" w:rsidR="00317486" w:rsidRPr="00B25729" w:rsidRDefault="00BB7B5C"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 xml:space="preserve">lanning </w:t>
            </w:r>
            <w:r>
              <w:rPr>
                <w:rFonts w:ascii="Arial" w:hAnsi="Arial" w:cs="Arial"/>
                <w:color w:val="404040"/>
                <w:sz w:val="22"/>
                <w:szCs w:val="22"/>
              </w:rPr>
              <w:lastRenderedPageBreak/>
              <w:t>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 xml:space="preserve">Yes. All new housing development within 5.6km of the Solent SPAs is considered to contribute towards an impact on site </w:t>
            </w:r>
            <w:r>
              <w:rPr>
                <w:rFonts w:ascii="Arial" w:hAnsi="Arial" w:cs="Arial"/>
                <w:sz w:val="20"/>
                <w:szCs w:val="20"/>
              </w:rPr>
              <w:lastRenderedPageBreak/>
              <w:t>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B6183FA" w14:textId="6A4552CE" w:rsidR="0059130A" w:rsidRPr="0059130A" w:rsidRDefault="0059130A" w:rsidP="0059130A">
            <w:pPr>
              <w:spacing w:after="160" w:line="276" w:lineRule="auto"/>
              <w:rPr>
                <w:rFonts w:ascii="Arial" w:eastAsiaTheme="minorHAnsi" w:hAnsi="Arial" w:cs="Arial"/>
                <w:b/>
                <w:bCs/>
                <w:sz w:val="20"/>
                <w:szCs w:val="20"/>
                <w:lang w:eastAsia="en-US"/>
              </w:rPr>
            </w:pPr>
            <w:r w:rsidRPr="0059130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11AD2F7" w14:textId="0086ABAA" w:rsidR="0059130A" w:rsidRPr="0059130A" w:rsidRDefault="0059130A" w:rsidP="0059130A">
            <w:pPr>
              <w:spacing w:after="160" w:line="276" w:lineRule="auto"/>
              <w:rPr>
                <w:rFonts w:ascii="Arial" w:eastAsiaTheme="minorHAnsi" w:hAnsi="Arial" w:cs="Arial"/>
                <w:b/>
                <w:bCs/>
                <w:sz w:val="20"/>
                <w:szCs w:val="20"/>
                <w:lang w:eastAsia="en-US"/>
              </w:rPr>
            </w:pPr>
            <w:r w:rsidRPr="0059130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0DB47AD" w14:textId="497451C7" w:rsidR="0059130A" w:rsidRPr="0059130A" w:rsidRDefault="0059130A" w:rsidP="0059130A">
            <w:pPr>
              <w:spacing w:after="160" w:line="276" w:lineRule="auto"/>
              <w:rPr>
                <w:rFonts w:ascii="Arial" w:eastAsiaTheme="minorHAnsi" w:hAnsi="Arial" w:cs="Arial"/>
                <w:b/>
                <w:bCs/>
                <w:sz w:val="20"/>
                <w:szCs w:val="20"/>
                <w:lang w:eastAsia="en-US"/>
              </w:rPr>
            </w:pPr>
            <w:r w:rsidRPr="0059130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6759786F" w:rsidR="00622604" w:rsidRDefault="0059130A" w:rsidP="0059130A">
            <w:pPr>
              <w:spacing w:line="276" w:lineRule="auto"/>
              <w:rPr>
                <w:rFonts w:ascii="Arial" w:hAnsi="Arial" w:cs="Arial"/>
                <w:b/>
                <w:sz w:val="22"/>
                <w:szCs w:val="22"/>
              </w:rPr>
            </w:pPr>
            <w:r w:rsidRPr="0059130A">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500EE77A" w14:textId="77777777"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The proposed development is within the catchment of a wastewater treatment works that would drain into the Chichester and Langstone Harbours SPA.</w:t>
            </w:r>
          </w:p>
          <w:p w14:paraId="66D3061D" w14:textId="77777777"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2FD4559" w14:textId="77777777"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w:t>
            </w:r>
            <w:r w:rsidRPr="0059130A">
              <w:rPr>
                <w:rFonts w:ascii="Arial" w:hAnsi="Arial" w:cs="Arial"/>
                <w:sz w:val="20"/>
                <w:szCs w:val="20"/>
              </w:rPr>
              <w:lastRenderedPageBreak/>
              <w:t>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1F7E777D" w14:textId="1E12EAA3"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5418B08" w14:textId="56C0423C"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3E7F666E" w14:textId="77777777" w:rsidR="0059130A" w:rsidRPr="0059130A" w:rsidRDefault="0059130A" w:rsidP="0059130A">
            <w:pPr>
              <w:spacing w:after="160" w:line="276" w:lineRule="auto"/>
              <w:rPr>
                <w:rFonts w:ascii="Arial" w:hAnsi="Arial" w:cs="Arial"/>
                <w:b/>
                <w:bCs/>
                <w:sz w:val="20"/>
                <w:szCs w:val="20"/>
              </w:rPr>
            </w:pPr>
            <w:r w:rsidRPr="0059130A">
              <w:rPr>
                <w:rFonts w:ascii="Arial" w:hAnsi="Arial" w:cs="Arial"/>
                <w:sz w:val="20"/>
                <w:szCs w:val="20"/>
              </w:rPr>
              <w:t>As a result, there would be a likely significant effect to the following Solent European Sites due to water quality:</w:t>
            </w:r>
          </w:p>
          <w:p w14:paraId="38897077"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 xml:space="preserve">Chichester &amp; Langstone Harbours Special Protection Area (SPA) </w:t>
            </w:r>
          </w:p>
          <w:p w14:paraId="0BAC4B4B"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Chichester &amp; Langstone Harbours Ramsar site</w:t>
            </w:r>
          </w:p>
          <w:p w14:paraId="6BD1295A"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Solent Maritime Special Area of Conservation (SAC)</w:t>
            </w:r>
          </w:p>
          <w:p w14:paraId="522C48DF"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Solent and Dorset Coast Special Protection Area (SPA)</w:t>
            </w:r>
          </w:p>
          <w:p w14:paraId="07F47180"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Solent and Southampton Water SPA</w:t>
            </w:r>
          </w:p>
          <w:p w14:paraId="47B2F0D9"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Solent and Southampton Water Ramsar</w:t>
            </w:r>
          </w:p>
          <w:p w14:paraId="36CE9B43"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Portsmouth Harbour SPA</w:t>
            </w:r>
          </w:p>
          <w:p w14:paraId="2F27186E" w14:textId="77777777" w:rsidR="0059130A" w:rsidRPr="0059130A" w:rsidRDefault="0059130A" w:rsidP="0059130A">
            <w:pPr>
              <w:numPr>
                <w:ilvl w:val="0"/>
                <w:numId w:val="4"/>
              </w:numPr>
              <w:spacing w:after="160" w:line="276" w:lineRule="auto"/>
              <w:ind w:left="274" w:hanging="141"/>
              <w:contextualSpacing/>
              <w:rPr>
                <w:rFonts w:ascii="Arial" w:hAnsi="Arial" w:cs="Arial"/>
                <w:b/>
                <w:bCs/>
                <w:sz w:val="20"/>
                <w:szCs w:val="20"/>
              </w:rPr>
            </w:pPr>
            <w:r w:rsidRPr="0059130A">
              <w:rPr>
                <w:rFonts w:ascii="Arial" w:hAnsi="Arial" w:cs="Arial"/>
                <w:sz w:val="20"/>
                <w:szCs w:val="20"/>
              </w:rPr>
              <w:t>Portsmouth Harbour Ramsar</w:t>
            </w:r>
          </w:p>
          <w:p w14:paraId="4C3EC923" w14:textId="16C33046" w:rsidR="00622604" w:rsidRDefault="0059130A" w:rsidP="00622604">
            <w:pPr>
              <w:numPr>
                <w:ilvl w:val="0"/>
                <w:numId w:val="4"/>
              </w:numPr>
              <w:spacing w:after="160" w:line="276" w:lineRule="auto"/>
              <w:ind w:left="274" w:hanging="141"/>
              <w:contextualSpacing/>
              <w:rPr>
                <w:rFonts w:ascii="Arial" w:hAnsi="Arial" w:cs="Arial"/>
                <w:sz w:val="20"/>
                <w:szCs w:val="20"/>
              </w:rPr>
            </w:pPr>
            <w:r w:rsidRPr="0059130A">
              <w:rPr>
                <w:rFonts w:ascii="Arial" w:hAnsi="Arial" w:cs="Arial"/>
                <w:sz w:val="20"/>
                <w:szCs w:val="20"/>
              </w:rPr>
              <w:t>Solent and Isle of Wight Lagoons SAC</w:t>
            </w:r>
          </w:p>
          <w:p w14:paraId="2F863DC5" w14:textId="77777777" w:rsidR="0059130A" w:rsidRPr="0059130A" w:rsidRDefault="0059130A" w:rsidP="00622604">
            <w:pPr>
              <w:numPr>
                <w:ilvl w:val="0"/>
                <w:numId w:val="4"/>
              </w:numPr>
              <w:spacing w:after="160" w:line="276" w:lineRule="auto"/>
              <w:ind w:left="274" w:hanging="141"/>
              <w:contextualSpacing/>
              <w:rPr>
                <w:rFonts w:ascii="Arial" w:hAnsi="Arial" w:cs="Arial"/>
                <w:sz w:val="20"/>
                <w:szCs w:val="20"/>
              </w:rPr>
            </w:pPr>
          </w:p>
          <w:p w14:paraId="3747B97A" w14:textId="4BFC8495" w:rsidR="009A3435" w:rsidRPr="0059130A"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F2C0D57" w14:textId="23340219" w:rsidR="0059130A" w:rsidRPr="0059130A" w:rsidRDefault="0059130A" w:rsidP="0059130A">
            <w:pPr>
              <w:spacing w:after="160" w:line="276" w:lineRule="auto"/>
              <w:rPr>
                <w:rFonts w:ascii="Arial" w:hAnsi="Arial" w:cs="Arial"/>
                <w:sz w:val="20"/>
                <w:szCs w:val="20"/>
              </w:rPr>
            </w:pPr>
            <w:r w:rsidRPr="0059130A">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9130A">
              <w:rPr>
                <w:rFonts w:ascii="Arial" w:hAnsi="Arial" w:cs="Arial"/>
                <w:b/>
                <w:bCs/>
                <w:sz w:val="20"/>
                <w:szCs w:val="20"/>
              </w:rPr>
              <w:t xml:space="preserve"> </w:t>
            </w:r>
            <w:r w:rsidRPr="0059130A">
              <w:rPr>
                <w:rFonts w:ascii="Arial" w:hAnsi="Arial" w:cs="Arial"/>
                <w:sz w:val="20"/>
                <w:szCs w:val="20"/>
              </w:rPr>
              <w:t>be permitted, the development will</w:t>
            </w:r>
            <w:r w:rsidRPr="0059130A">
              <w:rPr>
                <w:rFonts w:ascii="Arial" w:hAnsi="Arial" w:cs="Arial"/>
                <w:b/>
                <w:bCs/>
                <w:sz w:val="20"/>
                <w:szCs w:val="20"/>
              </w:rPr>
              <w:t xml:space="preserve"> </w:t>
            </w:r>
            <w:r w:rsidRPr="0059130A">
              <w:rPr>
                <w:rFonts w:ascii="Arial" w:hAnsi="Arial" w:cs="Arial"/>
                <w:sz w:val="20"/>
                <w:szCs w:val="20"/>
              </w:rPr>
              <w:t>need</w:t>
            </w:r>
            <w:r w:rsidRPr="0059130A">
              <w:rPr>
                <w:rFonts w:ascii="Arial" w:hAnsi="Arial" w:cs="Arial"/>
                <w:b/>
                <w:bCs/>
                <w:sz w:val="20"/>
                <w:szCs w:val="20"/>
              </w:rPr>
              <w:t xml:space="preserve"> </w:t>
            </w:r>
            <w:r w:rsidRPr="0059130A">
              <w:rPr>
                <w:rFonts w:ascii="Arial" w:hAnsi="Arial" w:cs="Arial"/>
                <w:sz w:val="20"/>
                <w:szCs w:val="20"/>
              </w:rPr>
              <w:t>to include a package of avoidance and mitigation measures.</w:t>
            </w:r>
          </w:p>
          <w:p w14:paraId="507FEF77" w14:textId="1D413A7F" w:rsidR="0059130A" w:rsidRPr="0059130A" w:rsidRDefault="0059130A" w:rsidP="0059130A">
            <w:pPr>
              <w:spacing w:after="160" w:line="276" w:lineRule="auto"/>
              <w:rPr>
                <w:rFonts w:ascii="Arial" w:hAnsi="Arial" w:cs="Arial"/>
                <w:sz w:val="20"/>
                <w:szCs w:val="20"/>
              </w:rPr>
            </w:pPr>
            <w:r w:rsidRPr="0059130A">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7F143BAD" w14:textId="6A6DE390" w:rsidR="0059130A" w:rsidRPr="0059130A" w:rsidRDefault="0059130A" w:rsidP="0059130A">
            <w:pPr>
              <w:spacing w:after="160" w:line="276" w:lineRule="auto"/>
              <w:rPr>
                <w:rFonts w:ascii="Arial" w:hAnsi="Arial" w:cs="Arial"/>
                <w:sz w:val="20"/>
                <w:szCs w:val="20"/>
              </w:rPr>
            </w:pPr>
            <w:r w:rsidRPr="0059130A">
              <w:rPr>
                <w:rFonts w:ascii="Arial" w:hAnsi="Arial" w:cs="Arial"/>
                <w:sz w:val="20"/>
                <w:szCs w:val="20"/>
              </w:rPr>
              <w:t xml:space="preserve">As set out in the Solent Recreation Mitigation Strategy, </w:t>
            </w:r>
            <w:r w:rsidRPr="0059130A">
              <w:rPr>
                <w:rFonts w:ascii="Arial" w:hAnsi="Arial" w:cs="Arial"/>
                <w:sz w:val="20"/>
                <w:szCs w:val="20"/>
                <w:u w:val="single"/>
              </w:rPr>
              <w:t xml:space="preserve">as of 1 April 2024 </w:t>
            </w:r>
            <w:r w:rsidRPr="0059130A">
              <w:rPr>
                <w:rFonts w:ascii="Arial" w:hAnsi="Arial" w:cs="Arial"/>
                <w:sz w:val="20"/>
                <w:szCs w:val="20"/>
              </w:rPr>
              <w:t>an appropriate scale of mitigation for this scheme would be:</w:t>
            </w:r>
            <w:r w:rsidRPr="0059130A">
              <w:rPr>
                <w:rFonts w:ascii="Arial" w:hAnsi="Arial" w:cs="Arial"/>
                <w:i/>
                <w:iCs/>
                <w:sz w:val="20"/>
                <w:szCs w:val="20"/>
              </w:rPr>
              <w:tab/>
            </w:r>
          </w:p>
          <w:bookmarkStart w:id="0" w:name="_MON_1658147270"/>
          <w:bookmarkEnd w:id="0"/>
          <w:p w14:paraId="7C957C16" w14:textId="7E0DC9EB" w:rsidR="0059130A" w:rsidRPr="0059130A" w:rsidRDefault="0059130A" w:rsidP="0059130A">
            <w:pPr>
              <w:spacing w:after="160" w:line="276" w:lineRule="auto"/>
              <w:rPr>
                <w:rFonts w:ascii="Arial" w:hAnsi="Arial" w:cs="Arial"/>
                <w:i/>
                <w:iCs/>
                <w:sz w:val="20"/>
                <w:szCs w:val="20"/>
              </w:rPr>
            </w:pPr>
            <w:r w:rsidRPr="0059130A">
              <w:rPr>
                <w:rFonts w:ascii="Arial" w:hAnsi="Arial" w:cs="Arial"/>
                <w:i/>
                <w:iCs/>
                <w:sz w:val="20"/>
                <w:szCs w:val="20"/>
              </w:rPr>
              <w:object w:dxaOrig="9844" w:dyaOrig="4328" w14:anchorId="291708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92831397" r:id="rId10"/>
              </w:object>
            </w:r>
          </w:p>
          <w:p w14:paraId="0DE75FD7" w14:textId="2692181C" w:rsidR="0059130A" w:rsidRPr="0059130A" w:rsidRDefault="0059130A" w:rsidP="0059130A">
            <w:pPr>
              <w:spacing w:after="160" w:line="276" w:lineRule="auto"/>
              <w:rPr>
                <w:rFonts w:ascii="Arial" w:hAnsi="Arial" w:cs="Arial"/>
                <w:sz w:val="20"/>
                <w:szCs w:val="20"/>
              </w:rPr>
            </w:pPr>
            <w:r w:rsidRPr="0059130A">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457E9522" w14:textId="4DB3B314" w:rsidR="0059130A" w:rsidRPr="0059130A" w:rsidRDefault="0059130A" w:rsidP="0059130A">
            <w:pPr>
              <w:spacing w:after="160" w:line="276" w:lineRule="auto"/>
              <w:jc w:val="both"/>
              <w:rPr>
                <w:rFonts w:ascii="Arial" w:hAnsi="Arial" w:cs="Arial"/>
                <w:sz w:val="20"/>
                <w:szCs w:val="20"/>
              </w:rPr>
            </w:pPr>
            <w:r w:rsidRPr="0059130A">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01E9D5FE" w:rsidR="00944107" w:rsidRPr="0059130A" w:rsidRDefault="0059130A" w:rsidP="0059130A">
            <w:pPr>
              <w:spacing w:after="160" w:line="276" w:lineRule="auto"/>
              <w:rPr>
                <w:rFonts w:ascii="Arial" w:hAnsi="Arial" w:cs="Arial"/>
                <w:sz w:val="20"/>
                <w:szCs w:val="20"/>
              </w:rPr>
            </w:pPr>
            <w:r w:rsidRPr="0059130A">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87BFA6E" w14:textId="696D601D" w:rsidR="00426FEE" w:rsidRPr="00426FEE" w:rsidRDefault="00426FEE"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42A2E5D" w14:textId="240D2C60" w:rsidR="00426FEE" w:rsidRPr="00426FEE" w:rsidRDefault="00426FEE"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86B1310" w14:textId="286C31AC" w:rsidR="00426FEE" w:rsidRPr="00426FEE" w:rsidRDefault="00426FEE"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EC73B1B" w14:textId="77777777" w:rsidR="00426FEE" w:rsidRPr="00426FEE" w:rsidRDefault="00426FEE"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A6B1D39" w14:textId="77777777" w:rsidR="00426FEE" w:rsidRPr="00426FEE" w:rsidRDefault="00426FEE"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lastRenderedPageBreak/>
              <w:t xml:space="preserve">As set out in the Position Statement and Mitigation Plan for Nutrient Neutral Development, </w:t>
            </w:r>
            <w:r w:rsidRPr="00426FEE">
              <w:rPr>
                <w:rFonts w:ascii="Arial" w:hAnsi="Arial" w:cs="Arial"/>
                <w:i/>
                <w:iCs/>
                <w:sz w:val="20"/>
                <w:szCs w:val="20"/>
                <w:u w:val="single"/>
              </w:rPr>
              <w:t xml:space="preserve"> as of 1 April 2024 </w:t>
            </w:r>
            <w:r w:rsidRPr="00426FEE">
              <w:rPr>
                <w:rFonts w:ascii="Arial" w:eastAsiaTheme="minorHAnsi" w:hAnsi="Arial" w:cs="Arial"/>
                <w:sz w:val="20"/>
                <w:szCs w:val="20"/>
                <w:lang w:eastAsia="en-US"/>
              </w:rPr>
              <w:t>an appropriate scale of mitigation for this scheme would be:</w:t>
            </w:r>
          </w:p>
          <w:bookmarkStart w:id="1" w:name="_MON_1653989736"/>
          <w:bookmarkEnd w:id="1"/>
          <w:p w14:paraId="4A4CDC2A" w14:textId="3EA084B5" w:rsidR="00426FEE" w:rsidRPr="00426FEE" w:rsidRDefault="006856D0" w:rsidP="00426FEE">
            <w:pPr>
              <w:spacing w:after="160" w:line="276" w:lineRule="auto"/>
              <w:rPr>
                <w:rFonts w:ascii="Arial" w:eastAsiaTheme="minorHAnsi" w:hAnsi="Arial" w:cs="Arial"/>
                <w:sz w:val="20"/>
                <w:szCs w:val="20"/>
                <w:lang w:eastAsia="en-US"/>
              </w:rPr>
            </w:pPr>
            <w:r w:rsidRPr="00426FEE">
              <w:rPr>
                <w:rFonts w:ascii="Arial" w:eastAsiaTheme="minorHAnsi" w:hAnsi="Arial" w:cs="Arial"/>
                <w:sz w:val="20"/>
                <w:szCs w:val="20"/>
                <w:lang w:eastAsia="en-US"/>
              </w:rPr>
              <w:object w:dxaOrig="6671" w:dyaOrig="2773" w14:anchorId="3CFF95A4">
                <v:shape id="_x0000_i1026" type="#_x0000_t75" style="width:333pt;height:137.25pt" o:ole="">
                  <v:imagedata r:id="rId11" o:title=""/>
                </v:shape>
                <o:OLEObject Type="Embed" ProgID="Excel.Sheet.12" ShapeID="_x0000_i1026" DrawAspect="Content" ObjectID="_1792831398" r:id="rId12"/>
              </w:object>
            </w:r>
          </w:p>
          <w:p w14:paraId="4F3085F0" w14:textId="01A7038A" w:rsidR="001071FC" w:rsidRPr="00DE35DC" w:rsidRDefault="00426FEE" w:rsidP="00426FEE">
            <w:pPr>
              <w:spacing w:line="276" w:lineRule="auto"/>
              <w:rPr>
                <w:rFonts w:ascii="Arial" w:hAnsi="Arial" w:cs="Arial"/>
                <w:sz w:val="22"/>
                <w:szCs w:val="22"/>
              </w:rPr>
            </w:pPr>
            <w:r w:rsidRPr="00426FEE">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4F124E4" w14:textId="0A548AEB" w:rsidR="006856D0" w:rsidRPr="006856D0" w:rsidRDefault="006856D0" w:rsidP="006856D0">
            <w:pPr>
              <w:spacing w:after="160" w:line="276" w:lineRule="auto"/>
              <w:rPr>
                <w:rFonts w:ascii="Arial" w:eastAsiaTheme="minorHAnsi" w:hAnsi="Arial" w:cs="Arial"/>
                <w:sz w:val="20"/>
                <w:szCs w:val="20"/>
                <w:lang w:eastAsia="en-US"/>
              </w:rPr>
            </w:pPr>
            <w:r w:rsidRPr="006856D0">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C3D5877" w14:textId="15D883E5" w:rsidR="006856D0" w:rsidRPr="006856D0" w:rsidRDefault="006856D0" w:rsidP="006856D0">
            <w:pPr>
              <w:spacing w:after="160" w:line="276" w:lineRule="auto"/>
              <w:rPr>
                <w:rFonts w:ascii="Arial" w:eastAsiaTheme="minorHAnsi" w:hAnsi="Arial" w:cs="Arial"/>
                <w:sz w:val="20"/>
                <w:szCs w:val="20"/>
                <w:lang w:eastAsia="en-US"/>
              </w:rPr>
            </w:pPr>
            <w:r w:rsidRPr="006856D0">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1EFB4A1D" w14:textId="2E4895E6" w:rsidR="006856D0" w:rsidRPr="006856D0" w:rsidRDefault="006856D0" w:rsidP="006856D0">
            <w:pPr>
              <w:spacing w:after="160" w:line="276" w:lineRule="auto"/>
              <w:rPr>
                <w:rFonts w:ascii="Arial" w:eastAsiaTheme="minorHAnsi" w:hAnsi="Arial" w:cs="Arial"/>
                <w:sz w:val="20"/>
                <w:szCs w:val="20"/>
                <w:lang w:eastAsia="en-US"/>
              </w:rPr>
            </w:pPr>
            <w:r w:rsidRPr="006856D0">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31AB6AC1" w:rsidR="00BD6E38" w:rsidRPr="00B25729" w:rsidRDefault="006856D0" w:rsidP="002C0485">
            <w:pPr>
              <w:spacing w:line="276" w:lineRule="auto"/>
              <w:rPr>
                <w:rFonts w:ascii="Arial" w:hAnsi="Arial" w:cs="Arial"/>
              </w:rPr>
            </w:pPr>
            <w:r w:rsidRPr="006856D0">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5A5CC039" w14:textId="77777777" w:rsidR="0097624D" w:rsidRDefault="0097624D" w:rsidP="00741821">
            <w:pPr>
              <w:spacing w:line="276" w:lineRule="auto"/>
              <w:rPr>
                <w:rFonts w:ascii="Arial" w:hAnsi="Arial" w:cs="Arial"/>
              </w:rPr>
            </w:pPr>
          </w:p>
          <w:p w14:paraId="0CBA0C7B" w14:textId="77777777" w:rsidR="0097624D" w:rsidRPr="0097624D" w:rsidRDefault="0097624D" w:rsidP="0097624D">
            <w:pPr>
              <w:pStyle w:val="Normal0"/>
              <w:rPr>
                <w:sz w:val="22"/>
                <w:szCs w:val="22"/>
                <w:u w:val="single"/>
              </w:rPr>
            </w:pPr>
            <w:r w:rsidRPr="0097624D">
              <w:rPr>
                <w:sz w:val="22"/>
                <w:szCs w:val="22"/>
                <w:u w:val="single"/>
              </w:rPr>
              <w:t>No Objection subject to securing appropriate mitigation</w:t>
            </w:r>
          </w:p>
          <w:p w14:paraId="587D7BFC" w14:textId="63646087" w:rsidR="0097624D" w:rsidRDefault="0097624D" w:rsidP="0097624D">
            <w:pPr>
              <w:pStyle w:val="Normal0"/>
              <w:rPr>
                <w:sz w:val="22"/>
                <w:szCs w:val="22"/>
              </w:rPr>
            </w:pPr>
            <w:r>
              <w:rPr>
                <w:sz w:val="22"/>
                <w:szCs w:val="22"/>
              </w:rPr>
              <w:t xml:space="preserve">Natural England concurs with the appropriate assessment conclusions, provided that all mitigation measures are appropriately secured in any planning </w:t>
            </w:r>
            <w:r>
              <w:rPr>
                <w:sz w:val="22"/>
                <w:szCs w:val="22"/>
              </w:rPr>
              <w:t>permission</w:t>
            </w:r>
            <w:r>
              <w:rPr>
                <w:sz w:val="22"/>
                <w:szCs w:val="22"/>
              </w:rPr>
              <w:t xml:space="preserve"> given. </w:t>
            </w:r>
          </w:p>
          <w:p w14:paraId="2483EC25" w14:textId="77777777" w:rsidR="0097624D" w:rsidRDefault="0097624D" w:rsidP="0097624D">
            <w:pPr>
              <w:pStyle w:val="Normal0"/>
              <w:rPr>
                <w:sz w:val="22"/>
                <w:szCs w:val="22"/>
              </w:rPr>
            </w:pPr>
          </w:p>
          <w:p w14:paraId="610A6051" w14:textId="77777777" w:rsidR="0097624D" w:rsidRDefault="0097624D" w:rsidP="0097624D">
            <w:pPr>
              <w:pStyle w:val="Normal0"/>
              <w:rPr>
                <w:sz w:val="22"/>
                <w:szCs w:val="22"/>
              </w:rPr>
            </w:pPr>
            <w:r>
              <w:rPr>
                <w:sz w:val="22"/>
                <w:szCs w:val="22"/>
              </w:rP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w:t>
            </w:r>
          </w:p>
          <w:p w14:paraId="63595C55" w14:textId="33473EC6" w:rsidR="001071FC" w:rsidRPr="0097624D" w:rsidRDefault="0097624D" w:rsidP="0097624D">
            <w:pPr>
              <w:pStyle w:val="Normal0"/>
              <w:rPr>
                <w:sz w:val="22"/>
                <w:szCs w:val="22"/>
              </w:rPr>
            </w:pPr>
            <w:r>
              <w:rPr>
                <w:sz w:val="22"/>
                <w:szCs w:val="22"/>
              </w:rPr>
              <w:t>This advice is provided on the basis that all mitigation measures will be secured as planning conditions or obligations by your authority to ensure their strict and timely implementation for the full duration of the development.</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473375">
    <w:abstractNumId w:val="6"/>
  </w:num>
  <w:num w:numId="2" w16cid:durableId="600383381">
    <w:abstractNumId w:val="3"/>
  </w:num>
  <w:num w:numId="3" w16cid:durableId="1770159753">
    <w:abstractNumId w:val="1"/>
  </w:num>
  <w:num w:numId="4" w16cid:durableId="1578974408">
    <w:abstractNumId w:val="0"/>
  </w:num>
  <w:num w:numId="5" w16cid:durableId="322854055">
    <w:abstractNumId w:val="5"/>
  </w:num>
  <w:num w:numId="6" w16cid:durableId="1201952">
    <w:abstractNumId w:val="4"/>
  </w:num>
  <w:num w:numId="7" w16cid:durableId="2044283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26FEE"/>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9130A"/>
    <w:rsid w:val="005A2A3C"/>
    <w:rsid w:val="005B3254"/>
    <w:rsid w:val="005B51A7"/>
    <w:rsid w:val="005C7960"/>
    <w:rsid w:val="005D2C30"/>
    <w:rsid w:val="005D59FD"/>
    <w:rsid w:val="005F1195"/>
    <w:rsid w:val="00622604"/>
    <w:rsid w:val="006363FF"/>
    <w:rsid w:val="006803F8"/>
    <w:rsid w:val="00682630"/>
    <w:rsid w:val="00684D6D"/>
    <w:rsid w:val="006856D0"/>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7624D"/>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B7B5C"/>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B0E4F"/>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2384</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cp:revision>
  <cp:lastPrinted>2014-02-18T14:51:00Z</cp:lastPrinted>
  <dcterms:created xsi:type="dcterms:W3CDTF">2024-07-29T11:23:00Z</dcterms:created>
  <dcterms:modified xsi:type="dcterms:W3CDTF">2024-11-11T11:57:00Z</dcterms:modified>
</cp:coreProperties>
</file>