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0B143A" w14:textId="77777777" w:rsidR="00536395" w:rsidRDefault="00536395" w:rsidP="00852456">
      <w:pPr>
        <w:jc w:val="both"/>
        <w:rPr>
          <w:b/>
          <w:u w:val="single"/>
        </w:rPr>
      </w:pPr>
    </w:p>
    <w:p w14:paraId="463221FE" w14:textId="77777777" w:rsidR="00536395" w:rsidRDefault="00536395" w:rsidP="00536395">
      <w:pPr>
        <w:jc w:val="both"/>
        <w:rPr>
          <w:rFonts w:cstheme="minorHAnsi"/>
          <w:b/>
          <w:u w:val="single"/>
        </w:rPr>
      </w:pPr>
      <w:r>
        <w:rPr>
          <w:rFonts w:cstheme="minorHAnsi"/>
          <w:b/>
          <w:u w:val="single"/>
        </w:rPr>
        <w:t xml:space="preserve">Heritage Team Response </w:t>
      </w:r>
    </w:p>
    <w:p w14:paraId="1C13B955" w14:textId="1B86B9A6" w:rsidR="00852456" w:rsidRDefault="00E236AF" w:rsidP="00852456">
      <w:pPr>
        <w:jc w:val="both"/>
        <w:rPr>
          <w:b/>
          <w:u w:val="single"/>
        </w:rPr>
      </w:pPr>
      <w:r>
        <w:rPr>
          <w:b/>
          <w:u w:val="single"/>
        </w:rPr>
        <w:t>A</w:t>
      </w:r>
      <w:r w:rsidR="00505FD9">
        <w:rPr>
          <w:b/>
          <w:u w:val="single"/>
        </w:rPr>
        <w:t>PP/2</w:t>
      </w:r>
      <w:r w:rsidR="00536395">
        <w:rPr>
          <w:b/>
          <w:u w:val="single"/>
        </w:rPr>
        <w:t>2</w:t>
      </w:r>
      <w:r w:rsidR="00505FD9">
        <w:rPr>
          <w:b/>
          <w:u w:val="single"/>
        </w:rPr>
        <w:t>/</w:t>
      </w:r>
      <w:r w:rsidR="0035685E">
        <w:rPr>
          <w:b/>
          <w:u w:val="single"/>
        </w:rPr>
        <w:t>00623</w:t>
      </w:r>
    </w:p>
    <w:p w14:paraId="1A8CE22F" w14:textId="12AF9C3F" w:rsidR="0035685E" w:rsidRDefault="0035685E" w:rsidP="00852456">
      <w:pPr>
        <w:jc w:val="both"/>
        <w:rPr>
          <w:b/>
          <w:u w:val="single"/>
        </w:rPr>
      </w:pPr>
      <w:r w:rsidRPr="0035685E">
        <w:rPr>
          <w:b/>
          <w:u w:val="single"/>
        </w:rPr>
        <w:t>Sea Breeze Cottage, Beach Road, Hayling Island, PO11 9DT</w:t>
      </w:r>
    </w:p>
    <w:p w14:paraId="28A5D82E" w14:textId="7609E411" w:rsidR="000C0D5C" w:rsidRPr="0035685E" w:rsidRDefault="000C0D5C" w:rsidP="0035685E">
      <w:pPr>
        <w:pStyle w:val="Normal0"/>
        <w:rPr>
          <w:sz w:val="22"/>
          <w:szCs w:val="22"/>
        </w:rPr>
      </w:pPr>
      <w:r w:rsidRPr="000C0D5C">
        <w:rPr>
          <w:rFonts w:asciiTheme="minorHAnsi" w:hAnsiTheme="minorHAnsi" w:cstheme="minorHAnsi"/>
          <w:b/>
          <w:sz w:val="22"/>
          <w:szCs w:val="22"/>
          <w:u w:val="single"/>
        </w:rPr>
        <w:t xml:space="preserve">Proposal – </w:t>
      </w:r>
      <w:r w:rsidR="0035685E" w:rsidRPr="0035685E">
        <w:rPr>
          <w:rFonts w:ascii="Calibri" w:hAnsi="Calibri" w:cs="Calibri"/>
          <w:sz w:val="22"/>
          <w:szCs w:val="22"/>
        </w:rPr>
        <w:t>Listed building application for amendments to dwelling comprising one new double glazed window; one new double glazed replacement window; relocation of porch and front door to north elevation; blocking up of doorway to south elevation; removal of partition wall in internal ground floor to create open plan living area; and relocation of staircase (retrospective application).</w:t>
      </w:r>
    </w:p>
    <w:p w14:paraId="3EA8A349" w14:textId="77777777" w:rsidR="0035685E" w:rsidRDefault="0035685E" w:rsidP="00852456">
      <w:pPr>
        <w:jc w:val="both"/>
        <w:rPr>
          <w:b/>
          <w:u w:val="single"/>
        </w:rPr>
      </w:pPr>
    </w:p>
    <w:p w14:paraId="3BB9B790" w14:textId="6E228DD9" w:rsidR="00852456" w:rsidRDefault="00852456" w:rsidP="00852456">
      <w:pPr>
        <w:jc w:val="both"/>
        <w:rPr>
          <w:b/>
          <w:u w:val="single"/>
        </w:rPr>
      </w:pPr>
      <w:r>
        <w:rPr>
          <w:b/>
          <w:u w:val="single"/>
        </w:rPr>
        <w:t>Background</w:t>
      </w:r>
    </w:p>
    <w:p w14:paraId="1C6713C2" w14:textId="43A7D175" w:rsidR="00E0307A" w:rsidRDefault="00E0307A" w:rsidP="000C0D5C">
      <w:pPr>
        <w:jc w:val="both"/>
      </w:pPr>
      <w:r>
        <w:t xml:space="preserve">The application </w:t>
      </w:r>
      <w:r w:rsidR="0035685E">
        <w:t xml:space="preserve">is located on the corner of St Mary’s Road and Manor Road in Hayling Island. It comprises a detached, thatched roof cottage and separate outbuilding which is now used a separate form of accommodation. The listing description is as follows: </w:t>
      </w:r>
    </w:p>
    <w:p w14:paraId="22B265F6" w14:textId="450FB1C6" w:rsidR="0035685E" w:rsidRDefault="0035685E" w:rsidP="000C0D5C">
      <w:pPr>
        <w:jc w:val="both"/>
        <w:rPr>
          <w:rFonts w:ascii="Source Sans Pro" w:hAnsi="Source Sans Pro"/>
          <w:i/>
          <w:iCs/>
          <w:color w:val="000000"/>
          <w:sz w:val="27"/>
          <w:szCs w:val="27"/>
          <w:shd w:val="clear" w:color="auto" w:fill="FFFFFF"/>
        </w:rPr>
      </w:pPr>
      <w:r>
        <w:rPr>
          <w:rFonts w:ascii="Source Sans Pro" w:hAnsi="Source Sans Pro"/>
          <w:i/>
          <w:iCs/>
          <w:color w:val="000000"/>
          <w:sz w:val="27"/>
          <w:szCs w:val="27"/>
          <w:shd w:val="clear" w:color="auto" w:fill="FFFFFF"/>
        </w:rPr>
        <w:t>“</w:t>
      </w:r>
      <w:r w:rsidRPr="0035685E">
        <w:rPr>
          <w:rFonts w:ascii="Source Sans Pro" w:hAnsi="Source Sans Pro"/>
          <w:i/>
          <w:iCs/>
          <w:color w:val="000000"/>
          <w:sz w:val="27"/>
          <w:szCs w:val="27"/>
          <w:shd w:val="clear" w:color="auto" w:fill="FFFFFF"/>
        </w:rPr>
        <w:t>House. Late C18. Brick, with a thatched roof. Front (west) of 2 storeys, 4 windows. The roof is hipped at the north side, has a catslide at the rear, with 2 unequal gables. Red brick walls in Flemish bond, with blue heads, cambered ground floor openings. Casements. Entrance at the side. A small detached stable block has a ½-hipped thatched roof and boomed walls, with a small extension in rubble brick and stone walls, also with a thatched roof</w:t>
      </w:r>
      <w:r>
        <w:rPr>
          <w:rFonts w:ascii="Source Sans Pro" w:hAnsi="Source Sans Pro"/>
          <w:i/>
          <w:iCs/>
          <w:color w:val="000000"/>
          <w:sz w:val="27"/>
          <w:szCs w:val="27"/>
          <w:shd w:val="clear" w:color="auto" w:fill="FFFFFF"/>
        </w:rPr>
        <w:t>”</w:t>
      </w:r>
      <w:r w:rsidRPr="0035685E">
        <w:rPr>
          <w:rFonts w:ascii="Source Sans Pro" w:hAnsi="Source Sans Pro"/>
          <w:i/>
          <w:iCs/>
          <w:color w:val="000000"/>
          <w:sz w:val="27"/>
          <w:szCs w:val="27"/>
          <w:shd w:val="clear" w:color="auto" w:fill="FFFFFF"/>
        </w:rPr>
        <w:t>.</w:t>
      </w:r>
    </w:p>
    <w:p w14:paraId="0623D4A5" w14:textId="5CB54FA0" w:rsidR="0035685E" w:rsidRDefault="0035685E" w:rsidP="000C0D5C">
      <w:pPr>
        <w:jc w:val="both"/>
        <w:rPr>
          <w:rFonts w:cstheme="minorHAnsi"/>
          <w:color w:val="000000"/>
          <w:shd w:val="clear" w:color="auto" w:fill="FFFFFF"/>
        </w:rPr>
      </w:pPr>
      <w:r>
        <w:rPr>
          <w:rFonts w:cstheme="minorHAnsi"/>
          <w:color w:val="000000"/>
          <w:shd w:val="clear" w:color="auto" w:fill="FFFFFF"/>
        </w:rPr>
        <w:t xml:space="preserve">The outbuilding also has a thatched roof. Its current use is for holiday accommodation, and it has a separate entrance on Manor Road. It is clad in dark stained timber boarding. Works have already been carried out to include the following: </w:t>
      </w:r>
    </w:p>
    <w:p w14:paraId="60734E21" w14:textId="77777777" w:rsidR="0035685E" w:rsidRPr="0035685E" w:rsidRDefault="0035685E" w:rsidP="000C0D5C">
      <w:pPr>
        <w:pStyle w:val="ListParagraph"/>
        <w:numPr>
          <w:ilvl w:val="0"/>
          <w:numId w:val="4"/>
        </w:numPr>
        <w:jc w:val="both"/>
        <w:rPr>
          <w:rFonts w:cstheme="minorHAnsi"/>
          <w:color w:val="000000"/>
          <w:shd w:val="clear" w:color="auto" w:fill="FFFFFF"/>
        </w:rPr>
      </w:pPr>
      <w:r w:rsidRPr="0035685E">
        <w:rPr>
          <w:rFonts w:ascii="Calibri" w:hAnsi="Calibri" w:cs="Calibri"/>
        </w:rPr>
        <w:t xml:space="preserve">one new double glazed window; </w:t>
      </w:r>
    </w:p>
    <w:p w14:paraId="2295CBAC" w14:textId="4D813EAB" w:rsidR="0035685E" w:rsidRPr="0035685E" w:rsidRDefault="0035685E" w:rsidP="000C0D5C">
      <w:pPr>
        <w:pStyle w:val="ListParagraph"/>
        <w:numPr>
          <w:ilvl w:val="0"/>
          <w:numId w:val="4"/>
        </w:numPr>
        <w:jc w:val="both"/>
        <w:rPr>
          <w:rFonts w:cstheme="minorHAnsi"/>
          <w:color w:val="000000"/>
          <w:shd w:val="clear" w:color="auto" w:fill="FFFFFF"/>
        </w:rPr>
      </w:pPr>
      <w:r w:rsidRPr="0035685E">
        <w:rPr>
          <w:rFonts w:ascii="Calibri" w:hAnsi="Calibri" w:cs="Calibri"/>
        </w:rPr>
        <w:t xml:space="preserve">one new </w:t>
      </w:r>
      <w:r w:rsidRPr="0035685E">
        <w:rPr>
          <w:rFonts w:ascii="Calibri" w:hAnsi="Calibri" w:cs="Calibri"/>
        </w:rPr>
        <w:t>double-glazed</w:t>
      </w:r>
      <w:r w:rsidRPr="0035685E">
        <w:rPr>
          <w:rFonts w:ascii="Calibri" w:hAnsi="Calibri" w:cs="Calibri"/>
        </w:rPr>
        <w:t xml:space="preserve"> replacement window; </w:t>
      </w:r>
    </w:p>
    <w:p w14:paraId="637FF14F" w14:textId="38FDC32C" w:rsidR="0035685E" w:rsidRPr="0035685E" w:rsidRDefault="0035685E" w:rsidP="000C0D5C">
      <w:pPr>
        <w:pStyle w:val="ListParagraph"/>
        <w:numPr>
          <w:ilvl w:val="0"/>
          <w:numId w:val="4"/>
        </w:numPr>
        <w:jc w:val="both"/>
        <w:rPr>
          <w:rFonts w:cstheme="minorHAnsi"/>
          <w:color w:val="000000"/>
          <w:shd w:val="clear" w:color="auto" w:fill="FFFFFF"/>
        </w:rPr>
      </w:pPr>
      <w:r w:rsidRPr="0035685E">
        <w:rPr>
          <w:rFonts w:ascii="Calibri" w:hAnsi="Calibri" w:cs="Calibri"/>
        </w:rPr>
        <w:t xml:space="preserve">relocation of porch and front door </w:t>
      </w:r>
      <w:r>
        <w:rPr>
          <w:rFonts w:ascii="Calibri" w:hAnsi="Calibri" w:cs="Calibri"/>
        </w:rPr>
        <w:t xml:space="preserve">from south to </w:t>
      </w:r>
      <w:r w:rsidRPr="0035685E">
        <w:rPr>
          <w:rFonts w:ascii="Calibri" w:hAnsi="Calibri" w:cs="Calibri"/>
        </w:rPr>
        <w:t>north elevation</w:t>
      </w:r>
    </w:p>
    <w:p w14:paraId="06042A79" w14:textId="69F992EA" w:rsidR="0035685E" w:rsidRPr="0035685E" w:rsidRDefault="0035685E" w:rsidP="000C0D5C">
      <w:pPr>
        <w:pStyle w:val="ListParagraph"/>
        <w:numPr>
          <w:ilvl w:val="0"/>
          <w:numId w:val="4"/>
        </w:numPr>
        <w:jc w:val="both"/>
        <w:rPr>
          <w:rFonts w:cstheme="minorHAnsi"/>
          <w:color w:val="000000"/>
          <w:shd w:val="clear" w:color="auto" w:fill="FFFFFF"/>
        </w:rPr>
      </w:pPr>
      <w:r w:rsidRPr="0035685E">
        <w:rPr>
          <w:rFonts w:ascii="Calibri" w:hAnsi="Calibri" w:cs="Calibri"/>
        </w:rPr>
        <w:t xml:space="preserve">blocking up of doorway to south elevation </w:t>
      </w:r>
    </w:p>
    <w:p w14:paraId="2C6C4108" w14:textId="7FD1EF2D" w:rsidR="0035685E" w:rsidRPr="0035685E" w:rsidRDefault="0035685E" w:rsidP="000C0D5C">
      <w:pPr>
        <w:pStyle w:val="ListParagraph"/>
        <w:numPr>
          <w:ilvl w:val="0"/>
          <w:numId w:val="4"/>
        </w:numPr>
        <w:jc w:val="both"/>
        <w:rPr>
          <w:rFonts w:cstheme="minorHAnsi"/>
          <w:color w:val="000000"/>
          <w:shd w:val="clear" w:color="auto" w:fill="FFFFFF"/>
        </w:rPr>
      </w:pPr>
      <w:r w:rsidRPr="0035685E">
        <w:rPr>
          <w:rFonts w:ascii="Calibri" w:hAnsi="Calibri" w:cs="Calibri"/>
        </w:rPr>
        <w:t>removal of partition wall in internal ground floor to create open plan living area</w:t>
      </w:r>
    </w:p>
    <w:p w14:paraId="2B86A00C" w14:textId="69FA83AB" w:rsidR="0035685E" w:rsidRPr="0035685E" w:rsidRDefault="0035685E" w:rsidP="000C0D5C">
      <w:pPr>
        <w:pStyle w:val="ListParagraph"/>
        <w:numPr>
          <w:ilvl w:val="0"/>
          <w:numId w:val="4"/>
        </w:numPr>
        <w:jc w:val="both"/>
        <w:rPr>
          <w:rFonts w:cstheme="minorHAnsi"/>
          <w:color w:val="000000"/>
          <w:shd w:val="clear" w:color="auto" w:fill="FFFFFF"/>
        </w:rPr>
      </w:pPr>
      <w:r w:rsidRPr="0035685E">
        <w:rPr>
          <w:rFonts w:ascii="Calibri" w:hAnsi="Calibri" w:cs="Calibri"/>
        </w:rPr>
        <w:t xml:space="preserve">relocation of staircase </w:t>
      </w:r>
    </w:p>
    <w:p w14:paraId="53179836" w14:textId="3B976E22" w:rsidR="0035685E" w:rsidRPr="0035685E" w:rsidRDefault="0035685E" w:rsidP="000C0D5C">
      <w:pPr>
        <w:jc w:val="both"/>
        <w:rPr>
          <w:rFonts w:cstheme="minorHAnsi"/>
        </w:rPr>
      </w:pPr>
      <w:r>
        <w:rPr>
          <w:rFonts w:cstheme="minorHAnsi"/>
          <w:color w:val="000000"/>
          <w:shd w:val="clear" w:color="auto" w:fill="FFFFFF"/>
        </w:rPr>
        <w:t>NB - Under the listing, the main house is know</w:t>
      </w:r>
      <w:r w:rsidR="00AC4CEF">
        <w:rPr>
          <w:rFonts w:cstheme="minorHAnsi"/>
          <w:color w:val="000000"/>
          <w:shd w:val="clear" w:color="auto" w:fill="FFFFFF"/>
        </w:rPr>
        <w:t xml:space="preserve">n </w:t>
      </w:r>
      <w:r>
        <w:rPr>
          <w:rFonts w:cstheme="minorHAnsi"/>
          <w:color w:val="000000"/>
          <w:shd w:val="clear" w:color="auto" w:fill="FFFFFF"/>
        </w:rPr>
        <w:t xml:space="preserve">as </w:t>
      </w:r>
      <w:proofErr w:type="spellStart"/>
      <w:r>
        <w:rPr>
          <w:rFonts w:cstheme="minorHAnsi"/>
          <w:color w:val="000000"/>
          <w:shd w:val="clear" w:color="auto" w:fill="FFFFFF"/>
        </w:rPr>
        <w:t>Deepthatch</w:t>
      </w:r>
      <w:proofErr w:type="spellEnd"/>
      <w:r>
        <w:rPr>
          <w:rFonts w:cstheme="minorHAnsi"/>
          <w:color w:val="000000"/>
          <w:shd w:val="clear" w:color="auto" w:fill="FFFFFF"/>
        </w:rPr>
        <w:t xml:space="preserve"> and outbuilding however, the owners have changed the name of the outbuilding to Sea Breeze Cottage. </w:t>
      </w:r>
      <w:r w:rsidR="00AC4CEF">
        <w:rPr>
          <w:rFonts w:cstheme="minorHAnsi"/>
          <w:color w:val="000000"/>
          <w:shd w:val="clear" w:color="auto" w:fill="FFFFFF"/>
        </w:rPr>
        <w:t xml:space="preserve">Advice will be provided as to how this can be rectified with Historic England directly. </w:t>
      </w:r>
    </w:p>
    <w:p w14:paraId="396DAFA7" w14:textId="77777777" w:rsidR="00852456" w:rsidRDefault="00852456" w:rsidP="00852456">
      <w:pPr>
        <w:jc w:val="both"/>
        <w:rPr>
          <w:b/>
          <w:u w:val="single"/>
        </w:rPr>
      </w:pPr>
      <w:r>
        <w:rPr>
          <w:b/>
          <w:u w:val="single"/>
        </w:rPr>
        <w:t xml:space="preserve">Legislative and Policy Context </w:t>
      </w:r>
    </w:p>
    <w:p w14:paraId="3FF859A8" w14:textId="77777777" w:rsidR="000D6036" w:rsidRPr="00536395" w:rsidRDefault="000D6036" w:rsidP="00852456">
      <w:pPr>
        <w:jc w:val="both"/>
        <w:rPr>
          <w:rFonts w:cstheme="minorHAnsi"/>
        </w:rPr>
      </w:pPr>
      <w:r w:rsidRPr="00536395">
        <w:rPr>
          <w:rFonts w:cstheme="minorHAnsi"/>
        </w:rPr>
        <w:t xml:space="preserve">When assessing the proposal, the following legislation and policy context is taken in consideration. </w:t>
      </w:r>
    </w:p>
    <w:p w14:paraId="35946084" w14:textId="77777777" w:rsidR="00852456" w:rsidRPr="00536395" w:rsidRDefault="00852456" w:rsidP="00852456">
      <w:pPr>
        <w:jc w:val="both"/>
        <w:rPr>
          <w:rFonts w:cstheme="minorHAnsi"/>
        </w:rPr>
      </w:pPr>
      <w:r w:rsidRPr="00536395">
        <w:rPr>
          <w:rFonts w:cstheme="minorHAnsi"/>
        </w:rPr>
        <w:t>Section 66 of the Planning (Listed Buildings and Conservation Areas) Act 1990 requires planning authorities, when considering whether to grant planning permission for development which affects a listed building or its setting, to have special regard to the desirability of preserving the building or its setting or any features of special architectural or historic interest which it possesses.</w:t>
      </w:r>
    </w:p>
    <w:p w14:paraId="0A92F730" w14:textId="77777777" w:rsidR="00852456" w:rsidRPr="00536395" w:rsidRDefault="00852456" w:rsidP="00852456">
      <w:pPr>
        <w:jc w:val="both"/>
        <w:rPr>
          <w:rFonts w:cstheme="minorHAnsi"/>
        </w:rPr>
      </w:pPr>
      <w:r w:rsidRPr="00536395">
        <w:rPr>
          <w:rFonts w:cstheme="minorHAnsi"/>
        </w:rPr>
        <w:t>Policy CP16 (1a) of the Core Strategy states Planning permission will be granted for development that is designed to a high standard, which helps to create places where people want to live, work and relax. All development should demonstrate that its design:</w:t>
      </w:r>
    </w:p>
    <w:p w14:paraId="4321AB87" w14:textId="77777777" w:rsidR="00852456" w:rsidRPr="00536395" w:rsidRDefault="00E0307A" w:rsidP="00E31B3A">
      <w:pPr>
        <w:jc w:val="both"/>
        <w:rPr>
          <w:rFonts w:cstheme="minorHAnsi"/>
        </w:rPr>
      </w:pPr>
      <w:r w:rsidRPr="00536395">
        <w:rPr>
          <w:rFonts w:cstheme="minorHAnsi"/>
        </w:rPr>
        <w:lastRenderedPageBreak/>
        <w:t>‘</w:t>
      </w:r>
      <w:r w:rsidR="00852456" w:rsidRPr="00536395">
        <w:rPr>
          <w:rFonts w:cstheme="minorHAnsi"/>
        </w:rPr>
        <w:t>Identifies and responds positively to existing features of natural, historic or local character within or close to the proposed development site</w:t>
      </w:r>
      <w:r w:rsidRPr="00536395">
        <w:rPr>
          <w:rFonts w:cstheme="minorHAnsi"/>
        </w:rPr>
        <w:t>’</w:t>
      </w:r>
      <w:r w:rsidR="00852456" w:rsidRPr="00536395">
        <w:rPr>
          <w:rFonts w:cstheme="minorHAnsi"/>
        </w:rPr>
        <w:t>.</w:t>
      </w:r>
    </w:p>
    <w:p w14:paraId="1579B4CF" w14:textId="77777777" w:rsidR="00CA7670" w:rsidRDefault="00852456" w:rsidP="00CA7670">
      <w:pPr>
        <w:pStyle w:val="Default"/>
        <w:jc w:val="both"/>
        <w:rPr>
          <w:rFonts w:cstheme="minorHAnsi"/>
        </w:rPr>
      </w:pPr>
      <w:r w:rsidRPr="00536395">
        <w:rPr>
          <w:rFonts w:cstheme="minorHAnsi"/>
        </w:rPr>
        <w:t xml:space="preserve">Policy DM20 of the Allocations Plan states that development proposals must conserve and enhance the historic assets of Havant. </w:t>
      </w:r>
    </w:p>
    <w:p w14:paraId="79636F2C" w14:textId="77777777" w:rsidR="00CA7670" w:rsidRDefault="00CA7670" w:rsidP="00CA7670">
      <w:pPr>
        <w:pStyle w:val="Default"/>
        <w:jc w:val="both"/>
        <w:rPr>
          <w:rFonts w:cstheme="minorHAnsi"/>
        </w:rPr>
      </w:pPr>
    </w:p>
    <w:p w14:paraId="7CC4234B" w14:textId="791A19F9" w:rsidR="00CA7670" w:rsidRDefault="00CA7670" w:rsidP="00CA7670">
      <w:pPr>
        <w:pStyle w:val="Default"/>
        <w:jc w:val="both"/>
        <w:rPr>
          <w:sz w:val="22"/>
          <w:szCs w:val="22"/>
          <w:u w:val="single"/>
        </w:rPr>
      </w:pPr>
      <w:r>
        <w:rPr>
          <w:sz w:val="22"/>
          <w:szCs w:val="22"/>
          <w:u w:val="single"/>
        </w:rPr>
        <w:t>Assessment of proposal</w:t>
      </w:r>
    </w:p>
    <w:p w14:paraId="61F86B7E" w14:textId="77777777" w:rsidR="00CA7670" w:rsidRDefault="00CA7670" w:rsidP="00536395">
      <w:pPr>
        <w:pStyle w:val="Default"/>
        <w:jc w:val="both"/>
        <w:rPr>
          <w:sz w:val="22"/>
          <w:szCs w:val="22"/>
        </w:rPr>
      </w:pPr>
    </w:p>
    <w:p w14:paraId="0A65EE7E" w14:textId="77777777" w:rsidR="00CA443A" w:rsidRDefault="00852456" w:rsidP="00536395">
      <w:pPr>
        <w:pStyle w:val="Default"/>
        <w:jc w:val="both"/>
        <w:rPr>
          <w:sz w:val="22"/>
          <w:szCs w:val="22"/>
        </w:rPr>
      </w:pPr>
      <w:r>
        <w:rPr>
          <w:sz w:val="22"/>
          <w:szCs w:val="22"/>
        </w:rPr>
        <w:t xml:space="preserve">The </w:t>
      </w:r>
      <w:r w:rsidR="00EB41F9">
        <w:rPr>
          <w:sz w:val="22"/>
          <w:szCs w:val="22"/>
        </w:rPr>
        <w:t>outbuilding was previously under use as ancillary residential accommodation. The works carried out have been for the purpose of using the building for holiday accommodation. Prior to the works subject to this application, the building had already been converted in habitable use with a first floor installed</w:t>
      </w:r>
      <w:r w:rsidR="00CA443A">
        <w:rPr>
          <w:sz w:val="22"/>
          <w:szCs w:val="22"/>
        </w:rPr>
        <w:t xml:space="preserve">. All the windows have been replaced at some point. Therefore the internal works carried out have only changed what has already taken place and have not further affected the historical significance of the building. </w:t>
      </w:r>
    </w:p>
    <w:p w14:paraId="22266B07" w14:textId="77777777" w:rsidR="00CA443A" w:rsidRDefault="00CA443A" w:rsidP="00536395">
      <w:pPr>
        <w:pStyle w:val="Default"/>
        <w:jc w:val="both"/>
        <w:rPr>
          <w:sz w:val="22"/>
          <w:szCs w:val="22"/>
        </w:rPr>
      </w:pPr>
    </w:p>
    <w:p w14:paraId="4BFD18F8" w14:textId="4129DED6" w:rsidR="00CA443A" w:rsidRDefault="00CA443A" w:rsidP="00536395">
      <w:pPr>
        <w:pStyle w:val="Default"/>
        <w:jc w:val="both"/>
        <w:rPr>
          <w:sz w:val="22"/>
          <w:szCs w:val="22"/>
        </w:rPr>
      </w:pPr>
      <w:r>
        <w:rPr>
          <w:sz w:val="22"/>
          <w:szCs w:val="22"/>
        </w:rPr>
        <w:t xml:space="preserve">With regards to alterations to the external façade, the relocation of the entrance door is a significant change however, the same door, door frame and furniture has been moved and utilised on the north elevation, including the clay tile roof open porch.  This is adjacent to a new slim line, double glazed window. Whilst this has result in change to the historic fabric, the reuse of the materials has meant that the fabric has not been removed or lost and therefore overall, the level of resultant harm is low.  </w:t>
      </w:r>
    </w:p>
    <w:p w14:paraId="7E569985" w14:textId="5B4C8517" w:rsidR="00CA443A" w:rsidRDefault="00CA443A" w:rsidP="00536395">
      <w:pPr>
        <w:pStyle w:val="Default"/>
        <w:jc w:val="both"/>
        <w:rPr>
          <w:sz w:val="22"/>
          <w:szCs w:val="22"/>
        </w:rPr>
      </w:pPr>
    </w:p>
    <w:p w14:paraId="219AB446" w14:textId="37D8BBF5" w:rsidR="00CA443A" w:rsidRDefault="00CA443A" w:rsidP="00536395">
      <w:pPr>
        <w:pStyle w:val="Default"/>
        <w:jc w:val="both"/>
        <w:rPr>
          <w:sz w:val="22"/>
          <w:szCs w:val="22"/>
        </w:rPr>
      </w:pPr>
      <w:r>
        <w:rPr>
          <w:sz w:val="22"/>
          <w:szCs w:val="22"/>
        </w:rPr>
        <w:t xml:space="preserve">These works have a negligible impact on the adjacent main listed building and its immediate setting. </w:t>
      </w:r>
    </w:p>
    <w:p w14:paraId="5F8B41F3" w14:textId="7C6DEC47" w:rsidR="00C476F0" w:rsidRDefault="00C476F0" w:rsidP="00536395">
      <w:pPr>
        <w:pStyle w:val="Default"/>
        <w:jc w:val="both"/>
        <w:rPr>
          <w:sz w:val="22"/>
          <w:szCs w:val="22"/>
        </w:rPr>
      </w:pPr>
    </w:p>
    <w:p w14:paraId="200E5A4E" w14:textId="3C7FB867" w:rsidR="00C476F0" w:rsidRDefault="00C476F0" w:rsidP="00536395">
      <w:pPr>
        <w:pStyle w:val="Default"/>
        <w:jc w:val="both"/>
        <w:rPr>
          <w:sz w:val="22"/>
          <w:szCs w:val="22"/>
        </w:rPr>
      </w:pPr>
      <w:r>
        <w:rPr>
          <w:sz w:val="22"/>
          <w:szCs w:val="22"/>
        </w:rPr>
        <w:t xml:space="preserve">Overall it is considered that the </w:t>
      </w:r>
      <w:r w:rsidR="00CA443A">
        <w:rPr>
          <w:sz w:val="22"/>
          <w:szCs w:val="22"/>
        </w:rPr>
        <w:t xml:space="preserve">works have resulted in a negligible level of harm to the </w:t>
      </w:r>
      <w:r>
        <w:rPr>
          <w:sz w:val="22"/>
          <w:szCs w:val="22"/>
        </w:rPr>
        <w:t>designated heritage asset</w:t>
      </w:r>
      <w:r w:rsidR="00CA443A">
        <w:rPr>
          <w:sz w:val="22"/>
          <w:szCs w:val="22"/>
        </w:rPr>
        <w:t>s (the main house and the outbuilding)</w:t>
      </w:r>
      <w:r>
        <w:rPr>
          <w:sz w:val="22"/>
          <w:szCs w:val="22"/>
        </w:rPr>
        <w:t xml:space="preserve"> and therefore no objection</w:t>
      </w:r>
      <w:r w:rsidR="00CA443A">
        <w:rPr>
          <w:sz w:val="22"/>
          <w:szCs w:val="22"/>
        </w:rPr>
        <w:t xml:space="preserve"> is raised. </w:t>
      </w:r>
    </w:p>
    <w:p w14:paraId="24FEA3A8" w14:textId="77777777" w:rsidR="00CA443A" w:rsidRDefault="00CA443A" w:rsidP="00852456"/>
    <w:p w14:paraId="52B984A2" w14:textId="3C2CFD4F" w:rsidR="00442AD1" w:rsidRPr="00CA443A" w:rsidRDefault="00442AD1" w:rsidP="00852456">
      <w:pPr>
        <w:rPr>
          <w:b/>
          <w:bCs/>
        </w:rPr>
      </w:pPr>
      <w:r w:rsidRPr="00CA443A">
        <w:rPr>
          <w:b/>
          <w:bCs/>
        </w:rPr>
        <w:t>Conclusion – No objection</w:t>
      </w:r>
      <w:r w:rsidR="00B1477C" w:rsidRPr="00CA443A">
        <w:rPr>
          <w:b/>
          <w:bCs/>
        </w:rPr>
        <w:t xml:space="preserve"> </w:t>
      </w:r>
    </w:p>
    <w:p w14:paraId="3222264D" w14:textId="391656AB" w:rsidR="00852456" w:rsidRDefault="00CA443A" w:rsidP="00852456">
      <w:r>
        <w:t>13</w:t>
      </w:r>
      <w:r w:rsidR="009408D7">
        <w:t>/9/2022</w:t>
      </w:r>
    </w:p>
    <w:p w14:paraId="63241D94" w14:textId="77777777" w:rsidR="00BE59F6" w:rsidRDefault="00BE59F6"/>
    <w:sectPr w:rsidR="00BE59F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049A"/>
    <w:multiLevelType w:val="hybridMultilevel"/>
    <w:tmpl w:val="5D1A39CC"/>
    <w:lvl w:ilvl="0" w:tplc="9B3E1A40">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 w15:restartNumberingAfterBreak="0">
    <w:nsid w:val="1495554D"/>
    <w:multiLevelType w:val="hybridMultilevel"/>
    <w:tmpl w:val="959CF81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1E4B5E5F"/>
    <w:multiLevelType w:val="hybridMultilevel"/>
    <w:tmpl w:val="3648D928"/>
    <w:lvl w:ilvl="0" w:tplc="D708E12E">
      <w:start w:val="1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DAF636C"/>
    <w:multiLevelType w:val="hybridMultilevel"/>
    <w:tmpl w:val="012C54F4"/>
    <w:lvl w:ilvl="0" w:tplc="0AD049D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456"/>
    <w:rsid w:val="000C0D5C"/>
    <w:rsid w:val="000D155D"/>
    <w:rsid w:val="000D6036"/>
    <w:rsid w:val="00332A3A"/>
    <w:rsid w:val="0035685E"/>
    <w:rsid w:val="00376316"/>
    <w:rsid w:val="00440348"/>
    <w:rsid w:val="00442AD1"/>
    <w:rsid w:val="004F6F64"/>
    <w:rsid w:val="00505FD9"/>
    <w:rsid w:val="00536395"/>
    <w:rsid w:val="0061038E"/>
    <w:rsid w:val="006A54BC"/>
    <w:rsid w:val="00852456"/>
    <w:rsid w:val="009408D7"/>
    <w:rsid w:val="00984F41"/>
    <w:rsid w:val="00A54386"/>
    <w:rsid w:val="00AB323F"/>
    <w:rsid w:val="00AC4CEF"/>
    <w:rsid w:val="00B1477C"/>
    <w:rsid w:val="00B42C4C"/>
    <w:rsid w:val="00BE59F6"/>
    <w:rsid w:val="00BF67AB"/>
    <w:rsid w:val="00C05141"/>
    <w:rsid w:val="00C476F0"/>
    <w:rsid w:val="00C927D2"/>
    <w:rsid w:val="00CA11A3"/>
    <w:rsid w:val="00CA443A"/>
    <w:rsid w:val="00CA7670"/>
    <w:rsid w:val="00CD02E5"/>
    <w:rsid w:val="00D10755"/>
    <w:rsid w:val="00DA00B1"/>
    <w:rsid w:val="00E0307A"/>
    <w:rsid w:val="00E236AF"/>
    <w:rsid w:val="00E307EA"/>
    <w:rsid w:val="00E31B3A"/>
    <w:rsid w:val="00EB41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C01DFD"/>
  <w15:chartTrackingRefBased/>
  <w15:docId w15:val="{CBC65BB3-0167-474C-A4CC-C594607AF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456"/>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2456"/>
    <w:pPr>
      <w:ind w:left="720"/>
      <w:contextualSpacing/>
    </w:pPr>
  </w:style>
  <w:style w:type="paragraph" w:customStyle="1" w:styleId="Default">
    <w:name w:val="Default"/>
    <w:rsid w:val="00852456"/>
    <w:pPr>
      <w:autoSpaceDE w:val="0"/>
      <w:autoSpaceDN w:val="0"/>
      <w:adjustRightInd w:val="0"/>
      <w:spacing w:after="0" w:line="240" w:lineRule="auto"/>
    </w:pPr>
    <w:rPr>
      <w:rFonts w:ascii="Calibri" w:hAnsi="Calibri" w:cs="Calibri"/>
      <w:color w:val="000000"/>
      <w:sz w:val="24"/>
      <w:szCs w:val="24"/>
    </w:rPr>
  </w:style>
  <w:style w:type="paragraph" w:customStyle="1" w:styleId="Normal0">
    <w:name w:val="[Normal]"/>
    <w:rsid w:val="000C0D5C"/>
    <w:pPr>
      <w:autoSpaceDE w:val="0"/>
      <w:autoSpaceDN w:val="0"/>
      <w:adjustRightInd w:val="0"/>
      <w:spacing w:after="0" w:line="240" w:lineRule="auto"/>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547637">
      <w:bodyDiv w:val="1"/>
      <w:marLeft w:val="0"/>
      <w:marRight w:val="0"/>
      <w:marTop w:val="0"/>
      <w:marBottom w:val="0"/>
      <w:divBdr>
        <w:top w:val="none" w:sz="0" w:space="0" w:color="auto"/>
        <w:left w:val="none" w:sz="0" w:space="0" w:color="auto"/>
        <w:bottom w:val="none" w:sz="0" w:space="0" w:color="auto"/>
        <w:right w:val="none" w:sz="0" w:space="0" w:color="auto"/>
      </w:divBdr>
    </w:div>
    <w:div w:id="827283019">
      <w:bodyDiv w:val="1"/>
      <w:marLeft w:val="0"/>
      <w:marRight w:val="0"/>
      <w:marTop w:val="0"/>
      <w:marBottom w:val="0"/>
      <w:divBdr>
        <w:top w:val="none" w:sz="0" w:space="0" w:color="auto"/>
        <w:left w:val="none" w:sz="0" w:space="0" w:color="auto"/>
        <w:bottom w:val="none" w:sz="0" w:space="0" w:color="auto"/>
        <w:right w:val="none" w:sz="0" w:space="0" w:color="auto"/>
      </w:divBdr>
    </w:div>
    <w:div w:id="980696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664</Words>
  <Characters>3786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McMurray, Rachael</dc:creator>
  <cp:keywords/>
  <dc:description/>
  <cp:lastModifiedBy>McMurray, Rachael</cp:lastModifiedBy>
  <cp:revision>3</cp:revision>
  <dcterms:created xsi:type="dcterms:W3CDTF">2022-09-13T11:10:00Z</dcterms:created>
  <dcterms:modified xsi:type="dcterms:W3CDTF">2022-09-13T11:11:00Z</dcterms:modified>
</cp:coreProperties>
</file>