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013F8A71" w:rsidR="00F91FE6" w:rsidRPr="009327D6" w:rsidRDefault="00F91FE6" w:rsidP="00852456">
      <w:pPr>
        <w:jc w:val="both"/>
        <w:rPr>
          <w:rFonts w:cstheme="minorHAnsi"/>
          <w:b/>
          <w:u w:val="single"/>
        </w:rPr>
      </w:pPr>
      <w:r w:rsidRPr="009327D6">
        <w:rPr>
          <w:rFonts w:cstheme="minorHAnsi"/>
          <w:b/>
          <w:u w:val="single"/>
        </w:rPr>
        <w:t xml:space="preserve">Date – </w:t>
      </w:r>
      <w:r w:rsidR="00D4408D">
        <w:rPr>
          <w:rFonts w:cstheme="minorHAnsi"/>
          <w:b/>
          <w:u w:val="single"/>
        </w:rPr>
        <w:t>10/4</w:t>
      </w:r>
      <w:r w:rsidR="00471D44">
        <w:rPr>
          <w:rFonts w:cstheme="minorHAnsi"/>
          <w:b/>
          <w:u w:val="single"/>
        </w:rPr>
        <w:t>/2024</w:t>
      </w:r>
    </w:p>
    <w:p w14:paraId="53855C3A" w14:textId="0C567609" w:rsidR="00852456" w:rsidRDefault="00F86F4B" w:rsidP="00852456">
      <w:pPr>
        <w:jc w:val="both"/>
        <w:rPr>
          <w:rFonts w:cstheme="minorHAnsi"/>
          <w:b/>
          <w:u w:val="single"/>
        </w:rPr>
      </w:pPr>
      <w:r>
        <w:rPr>
          <w:rFonts w:cstheme="minorHAnsi"/>
          <w:b/>
          <w:u w:val="single"/>
        </w:rPr>
        <w:t>APP/2</w:t>
      </w:r>
      <w:r w:rsidR="00D4408D">
        <w:rPr>
          <w:rFonts w:cstheme="minorHAnsi"/>
          <w:b/>
          <w:u w:val="single"/>
        </w:rPr>
        <w:t>4</w:t>
      </w:r>
      <w:r w:rsidR="00272FC3">
        <w:rPr>
          <w:rFonts w:cstheme="minorHAnsi"/>
          <w:b/>
          <w:u w:val="single"/>
        </w:rPr>
        <w:t>/</w:t>
      </w:r>
      <w:r w:rsidR="00463D6A">
        <w:rPr>
          <w:rFonts w:cstheme="minorHAnsi"/>
          <w:b/>
          <w:u w:val="single"/>
        </w:rPr>
        <w:t>0</w:t>
      </w:r>
      <w:r w:rsidR="00471D44">
        <w:rPr>
          <w:rFonts w:cstheme="minorHAnsi"/>
          <w:b/>
          <w:u w:val="single"/>
        </w:rPr>
        <w:t>0</w:t>
      </w:r>
      <w:r w:rsidR="00D4408D">
        <w:rPr>
          <w:rFonts w:cstheme="minorHAnsi"/>
          <w:b/>
          <w:u w:val="single"/>
        </w:rPr>
        <w:t>130</w:t>
      </w:r>
      <w:r w:rsidR="00501301">
        <w:rPr>
          <w:rFonts w:cstheme="minorHAnsi"/>
          <w:b/>
          <w:u w:val="single"/>
        </w:rPr>
        <w:t xml:space="preserve"> – </w:t>
      </w:r>
      <w:r w:rsidR="00D4408D">
        <w:rPr>
          <w:rFonts w:cstheme="minorHAnsi"/>
          <w:b/>
          <w:u w:val="single"/>
        </w:rPr>
        <w:t xml:space="preserve">2 Towers Garden, Langstone </w:t>
      </w:r>
      <w:r w:rsidR="00501301">
        <w:rPr>
          <w:rFonts w:cstheme="minorHAnsi"/>
          <w:b/>
          <w:u w:val="single"/>
        </w:rPr>
        <w:t xml:space="preserve"> </w:t>
      </w:r>
    </w:p>
    <w:p w14:paraId="074D5120" w14:textId="6CFAB5DF" w:rsidR="00F86F4B" w:rsidRDefault="00E8381B" w:rsidP="00F86F4B">
      <w:pPr>
        <w:jc w:val="both"/>
        <w:rPr>
          <w:rFonts w:cstheme="minorHAnsi"/>
          <w:b/>
          <w:u w:val="single"/>
        </w:rPr>
      </w:pPr>
      <w:r>
        <w:rPr>
          <w:rFonts w:cstheme="minorHAnsi"/>
          <w:b/>
          <w:u w:val="single"/>
        </w:rPr>
        <w:t>Site</w:t>
      </w:r>
    </w:p>
    <w:p w14:paraId="37891983" w14:textId="5D1C4195" w:rsidR="00C32090" w:rsidRPr="00D4408D" w:rsidRDefault="00D4408D" w:rsidP="00F86F4B">
      <w:pPr>
        <w:jc w:val="both"/>
      </w:pPr>
      <w:r w:rsidRPr="00E106BC">
        <w:t>The site is located</w:t>
      </w:r>
      <w:r>
        <w:t xml:space="preserve"> in Towers Garden which is a residential cul-de-sac located off Langstone High Street and within the Langstone Conservation Area. It comprises a uniform development of short terrace rows with separate garages blocks. As characteristic of the streestcene, the application site has a front garden which is laid to lawn with no front boundary screening. </w:t>
      </w:r>
    </w:p>
    <w:p w14:paraId="0C3C6716" w14:textId="70433A87" w:rsidR="00C2652D" w:rsidRDefault="00F86F4B" w:rsidP="00F543E1">
      <w:pPr>
        <w:jc w:val="both"/>
        <w:rPr>
          <w:rFonts w:cstheme="minorHAnsi"/>
        </w:rPr>
      </w:pPr>
      <w:r w:rsidRPr="009327D6">
        <w:rPr>
          <w:rFonts w:cstheme="minorHAnsi"/>
          <w:b/>
          <w:bCs/>
          <w:u w:val="single"/>
        </w:rPr>
        <w:t>Proposal</w:t>
      </w:r>
      <w:r w:rsidR="00C2652D">
        <w:rPr>
          <w:rFonts w:cstheme="minorHAnsi"/>
        </w:rPr>
        <w:t xml:space="preserve"> </w:t>
      </w:r>
    </w:p>
    <w:p w14:paraId="4A9DA688" w14:textId="77777777" w:rsidR="00D4408D" w:rsidRDefault="00D4408D" w:rsidP="00D4408D">
      <w:pPr>
        <w:pStyle w:val="Normal0"/>
        <w:rPr>
          <w:sz w:val="22"/>
          <w:szCs w:val="22"/>
        </w:rPr>
      </w:pPr>
      <w:r>
        <w:rPr>
          <w:sz w:val="22"/>
          <w:szCs w:val="22"/>
        </w:rPr>
        <w:t xml:space="preserve">Installation of a hard stand/drive on part of the front garden to support the charging of electric vehicles. </w:t>
      </w:r>
    </w:p>
    <w:p w14:paraId="616D90AD" w14:textId="1BE59E66" w:rsidR="00307608" w:rsidRDefault="00307608" w:rsidP="00C32090">
      <w:pPr>
        <w:pStyle w:val="Normal0"/>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44311005" w14:textId="1A80F955" w:rsidR="00D4408D" w:rsidRPr="00D4408D" w:rsidRDefault="00D4408D" w:rsidP="00D4408D">
      <w:pPr>
        <w:jc w:val="both"/>
      </w:pPr>
      <w:r w:rsidRPr="00E106BC">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3C7E5CDA" w14:textId="022E459C" w:rsidR="00A23626" w:rsidRPr="006D5E0B" w:rsidRDefault="00A23626" w:rsidP="00A23626">
      <w:pPr>
        <w:autoSpaceDE w:val="0"/>
        <w:autoSpaceDN w:val="0"/>
        <w:adjustRightInd w:val="0"/>
        <w:jc w:val="both"/>
        <w:rPr>
          <w:rFonts w:cstheme="minorHAnsi"/>
          <w:b/>
          <w:bCs/>
        </w:rPr>
      </w:pPr>
      <w:r w:rsidRPr="006D5E0B">
        <w:rPr>
          <w:rFonts w:cstheme="minorHAnsi"/>
          <w:b/>
          <w:bCs/>
        </w:rPr>
        <w:t>NPPF</w:t>
      </w:r>
    </w:p>
    <w:p w14:paraId="56BCEA71" w14:textId="7A8B718C" w:rsidR="00A23626" w:rsidRPr="00314FD1" w:rsidRDefault="00A23626" w:rsidP="00A23626">
      <w:pPr>
        <w:jc w:val="both"/>
        <w:rPr>
          <w:rFonts w:cstheme="minorHAnsi"/>
        </w:rPr>
      </w:pPr>
      <w:r w:rsidRPr="00314FD1">
        <w:rPr>
          <w:rFonts w:cstheme="minorHAnsi"/>
        </w:rPr>
        <w:t>The revised NPPF (</w:t>
      </w:r>
      <w:r>
        <w:rPr>
          <w:rFonts w:cstheme="minorHAnsi"/>
        </w:rPr>
        <w:t>December</w:t>
      </w:r>
      <w:r w:rsidRPr="00314FD1">
        <w:rPr>
          <w:rFonts w:cstheme="minorHAnsi"/>
        </w:rPr>
        <w:t xml:space="preserve"> 202</w:t>
      </w:r>
      <w:r>
        <w:rPr>
          <w:rFonts w:cstheme="minorHAnsi"/>
        </w:rPr>
        <w:t>3</w:t>
      </w:r>
      <w:r w:rsidRPr="00314FD1">
        <w:rPr>
          <w:rFonts w:cstheme="minorHAnsi"/>
        </w:rPr>
        <w:t xml:space="preserve">) sets out in Chapter 16, the core principles relating to development affecting Heritage Assets that local planning authorities should consider in making planning decisions in </w:t>
      </w:r>
      <w:r w:rsidR="00D4408D">
        <w:rPr>
          <w:rFonts w:cstheme="minorHAnsi"/>
        </w:rPr>
        <w:t xml:space="preserve">paragraphs 194 – 2014. </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77777777" w:rsidR="007A35EF" w:rsidRPr="00673AA1" w:rsidRDefault="007A35EF" w:rsidP="007A35EF">
      <w:pPr>
        <w:jc w:val="both"/>
      </w:pPr>
      <w:r w:rsidRPr="00673AA1">
        <w:t>Identifies and responds positively to existing features of natural, historic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01021250" w14:textId="2BCA21E7" w:rsidR="00307608" w:rsidRPr="00C76890" w:rsidRDefault="007A35EF" w:rsidP="00C76890">
      <w:pPr>
        <w:jc w:val="both"/>
      </w:pPr>
      <w:r w:rsidRPr="00673AA1">
        <w:rPr>
          <w:rFonts w:cs="Arial"/>
          <w:bCs/>
        </w:rPr>
        <w:t>where possible positive opportunities to conserve and enjoy heritage assets.</w:t>
      </w:r>
    </w:p>
    <w:p w14:paraId="1A6ACD81" w14:textId="51E2B336"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62A738A5" w14:textId="77777777" w:rsidR="005E71CD" w:rsidRDefault="005E71CD"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r>
        <w:t>The proposal is very similar to a previous application at No. 9 Towers Garden in 2021 which was refused for the following reasons:</w:t>
      </w:r>
    </w:p>
    <w:p w14:paraId="3E659C65" w14:textId="77777777" w:rsidR="005E71CD" w:rsidRPr="005E71CD" w:rsidRDefault="005E71CD"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4D5F4929" w14:textId="11DF2DEA" w:rsidR="005E71CD" w:rsidRPr="000C7AFE" w:rsidRDefault="005E71CD" w:rsidP="005E71CD">
      <w:pPr>
        <w:pStyle w:val="Normal0"/>
        <w:numPr>
          <w:ilvl w:val="0"/>
          <w:numId w:val="11"/>
        </w:numPr>
        <w:jc w:val="both"/>
        <w:rPr>
          <w:rFonts w:asciiTheme="minorHAnsi" w:hAnsiTheme="minorHAnsi" w:cstheme="minorHAnsi"/>
          <w:i/>
          <w:iCs/>
          <w:sz w:val="22"/>
          <w:szCs w:val="22"/>
        </w:rPr>
      </w:pPr>
      <w:r w:rsidRPr="000C7AFE">
        <w:rPr>
          <w:rFonts w:asciiTheme="minorHAnsi" w:hAnsiTheme="minorHAnsi" w:cstheme="minorHAnsi"/>
          <w:i/>
          <w:iCs/>
          <w:sz w:val="22"/>
          <w:szCs w:val="22"/>
        </w:rPr>
        <w:t>The development would be detrimental to the visual amenities of the streetscene and conservation area as it would  puncture this strong, predominantly green boundary character with hardstanding and vehicle activity. It is therefore contrary to policies CS16 and CS11</w:t>
      </w:r>
      <w:r w:rsidRPr="000C7AFE">
        <w:rPr>
          <w:rFonts w:asciiTheme="minorHAnsi" w:hAnsiTheme="minorHAnsi" w:cstheme="minorHAnsi"/>
          <w:b/>
          <w:bCs/>
          <w:i/>
          <w:iCs/>
          <w:sz w:val="22"/>
          <w:szCs w:val="22"/>
        </w:rPr>
        <w:t xml:space="preserve"> </w:t>
      </w:r>
      <w:r w:rsidRPr="000C7AFE">
        <w:rPr>
          <w:rFonts w:asciiTheme="minorHAnsi" w:hAnsiTheme="minorHAnsi" w:cstheme="minorHAnsi"/>
          <w:i/>
          <w:iCs/>
          <w:sz w:val="22"/>
          <w:szCs w:val="22"/>
        </w:rPr>
        <w:t xml:space="preserve">of the Havant Borough Local Plan (Core Strategy) 2011 and the National Planning Policy Framework, March 2012. </w:t>
      </w:r>
    </w:p>
    <w:p w14:paraId="6AB1D560" w14:textId="3D2B9E28" w:rsidR="005E71CD" w:rsidRPr="000C7AFE" w:rsidRDefault="005E71CD"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i/>
          <w:iCs/>
        </w:rPr>
      </w:pPr>
      <w:r w:rsidRPr="000C7AFE">
        <w:rPr>
          <w:rFonts w:cstheme="minorHAnsi"/>
          <w:i/>
          <w:iCs/>
        </w:rPr>
        <w:t xml:space="preserve"> </w:t>
      </w:r>
    </w:p>
    <w:p w14:paraId="34D3B381" w14:textId="7C62A946" w:rsidR="005E71CD" w:rsidRPr="000C7AFE" w:rsidRDefault="005E71CD" w:rsidP="005E71CD">
      <w:pPr>
        <w:pStyle w:val="Normal0"/>
        <w:numPr>
          <w:ilvl w:val="0"/>
          <w:numId w:val="11"/>
        </w:numPr>
        <w:jc w:val="both"/>
        <w:rPr>
          <w:rFonts w:asciiTheme="minorHAnsi" w:hAnsiTheme="minorHAnsi" w:cstheme="minorHAnsi"/>
          <w:i/>
          <w:iCs/>
          <w:sz w:val="22"/>
          <w:szCs w:val="22"/>
        </w:rPr>
      </w:pPr>
      <w:r w:rsidRPr="000C7AFE">
        <w:rPr>
          <w:rFonts w:asciiTheme="minorHAnsi" w:hAnsiTheme="minorHAnsi" w:cstheme="minorHAnsi"/>
          <w:i/>
          <w:iCs/>
          <w:sz w:val="22"/>
          <w:szCs w:val="22"/>
        </w:rPr>
        <w:t>The proposal would create an undesirable precedent which would make it difficult to refuse further similar applications. It is therefore contrary to policy CS16 of the Havant Borough Local Plan (Core Strategy) 2011 and the National Planning Policy Framework.</w:t>
      </w:r>
    </w:p>
    <w:p w14:paraId="7F680701" w14:textId="77777777" w:rsidR="005E71CD" w:rsidRDefault="005E71CD"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p>
    <w:p w14:paraId="25C72A39" w14:textId="77777777" w:rsidR="000C7AFE" w:rsidRDefault="000C7AFE" w:rsidP="000C7AFE">
      <w:pPr>
        <w:jc w:val="both"/>
      </w:pPr>
      <w:r>
        <w:t xml:space="preserve">The Langstone Conservation Area and Management Plan 2011 states the following: </w:t>
      </w:r>
    </w:p>
    <w:p w14:paraId="64AB8547" w14:textId="77777777" w:rsidR="000C7AFE" w:rsidRDefault="000C7AFE" w:rsidP="000C7AFE">
      <w:pPr>
        <w:autoSpaceDE w:val="0"/>
        <w:autoSpaceDN w:val="0"/>
        <w:adjustRightInd w:val="0"/>
        <w:spacing w:after="0" w:line="240" w:lineRule="auto"/>
        <w:jc w:val="both"/>
        <w:rPr>
          <w:rFonts w:cs="Arial"/>
          <w:i/>
        </w:rPr>
      </w:pPr>
      <w:r w:rsidRPr="00073C86">
        <w:rPr>
          <w:rFonts w:cs="Arial"/>
          <w:i/>
        </w:rPr>
        <w:t>‘The more recent development on the southern side, comprising Tower Gardens and The Saltings complement the historic pattern of development. This is through the replication of the</w:t>
      </w:r>
      <w:r>
        <w:rPr>
          <w:rFonts w:cs="Arial"/>
          <w:i/>
        </w:rPr>
        <w:t xml:space="preserve"> </w:t>
      </w:r>
      <w:r w:rsidRPr="00073C86">
        <w:rPr>
          <w:rFonts w:cs="Arial"/>
          <w:i/>
        </w:rPr>
        <w:t>linear street pattern and terraced blocks of buildings. However, one difference is that the</w:t>
      </w:r>
      <w:r>
        <w:rPr>
          <w:rFonts w:cs="Arial"/>
          <w:i/>
        </w:rPr>
        <w:t xml:space="preserve"> </w:t>
      </w:r>
      <w:r w:rsidRPr="00073C86">
        <w:rPr>
          <w:rFonts w:cs="Arial"/>
          <w:i/>
        </w:rPr>
        <w:t>front gardens are open plan with an absence of walls and fences. Off street parking is</w:t>
      </w:r>
      <w:r>
        <w:rPr>
          <w:rFonts w:cs="Arial"/>
          <w:i/>
        </w:rPr>
        <w:t xml:space="preserve"> </w:t>
      </w:r>
      <w:r w:rsidRPr="00073C86">
        <w:rPr>
          <w:rFonts w:cs="Arial"/>
          <w:i/>
        </w:rPr>
        <w:t>arranged in discreet courtyards allowing front gardens to be laid to grass. Collectively this</w:t>
      </w:r>
      <w:r>
        <w:rPr>
          <w:rFonts w:cs="Arial"/>
          <w:i/>
        </w:rPr>
        <w:t xml:space="preserve"> </w:t>
      </w:r>
      <w:r w:rsidRPr="00073C86">
        <w:rPr>
          <w:rFonts w:cs="Arial"/>
          <w:i/>
        </w:rPr>
        <w:t>provides an attractive environment enhanced by trees which are reaching maturity, adding</w:t>
      </w:r>
      <w:r>
        <w:rPr>
          <w:rFonts w:cs="Arial"/>
          <w:i/>
        </w:rPr>
        <w:t xml:space="preserve"> </w:t>
      </w:r>
      <w:r w:rsidRPr="00073C86">
        <w:rPr>
          <w:rFonts w:cs="Arial"/>
          <w:i/>
        </w:rPr>
        <w:t>to the visual amenities and contrasting with the hard landscape treatment elsewhere</w:t>
      </w:r>
      <w:r>
        <w:rPr>
          <w:rFonts w:cs="Arial"/>
          <w:i/>
        </w:rPr>
        <w:t>’</w:t>
      </w:r>
      <w:r w:rsidRPr="00073C86">
        <w:rPr>
          <w:rFonts w:cs="Arial"/>
          <w:i/>
        </w:rPr>
        <w:t>.</w:t>
      </w:r>
    </w:p>
    <w:p w14:paraId="56E40557" w14:textId="77777777" w:rsidR="000C7AFE" w:rsidRDefault="000C7AFE" w:rsidP="000C7AFE">
      <w:pPr>
        <w:autoSpaceDE w:val="0"/>
        <w:autoSpaceDN w:val="0"/>
        <w:adjustRightInd w:val="0"/>
        <w:spacing w:after="0" w:line="240" w:lineRule="auto"/>
        <w:jc w:val="both"/>
        <w:rPr>
          <w:rFonts w:cs="Arial"/>
          <w:i/>
        </w:rPr>
      </w:pPr>
    </w:p>
    <w:p w14:paraId="6FB6ACD2" w14:textId="31A2254E" w:rsidR="005E71CD" w:rsidRDefault="000C7AFE"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r>
        <w:t xml:space="preserve">Since the 2021 application for No. 9, nothing has changed in terms of the status of the Langstone Conservation Area. Therefore, the heritage position is that the proposal to change the front garden into an area of hardstanding to provide on site parking would not be supported, as it would erode the verdant and uniform character of the front gardens in Towers Garden.  This would be harmful to the character of the conservation area.  </w:t>
      </w:r>
    </w:p>
    <w:p w14:paraId="34D83FC0" w14:textId="77777777" w:rsidR="000C7AFE" w:rsidRDefault="000C7AFE"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p>
    <w:p w14:paraId="48405988" w14:textId="45AFB56E" w:rsidR="000C7AFE" w:rsidRDefault="000C7AFE"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r>
        <w:t xml:space="preserve">With regards to the provision of an EV charging point, there is no objection to this in itself, it is the loss of the front garden and the creation of the hardstanding which is being objected to. </w:t>
      </w:r>
    </w:p>
    <w:p w14:paraId="4C324F2F" w14:textId="77777777" w:rsidR="000C7AFE" w:rsidRDefault="000C7AFE" w:rsidP="000C7AFE">
      <w:pPr>
        <w:jc w:val="both"/>
      </w:pPr>
    </w:p>
    <w:p w14:paraId="2DD33286" w14:textId="00D02544" w:rsidR="00A35B7A" w:rsidRPr="000C7AFE" w:rsidRDefault="005E71CD" w:rsidP="000C7AFE">
      <w:pPr>
        <w:jc w:val="both"/>
      </w:pPr>
      <w:r w:rsidRPr="00E106BC">
        <w:t xml:space="preserve">Overall is considered that the proposal will </w:t>
      </w:r>
      <w:r>
        <w:t>would fail meet the test of Section 72</w:t>
      </w:r>
      <w:r w:rsidRPr="00E106BC">
        <w:t xml:space="preserve"> of the Planning (Listed Buildings and Conservation Areas) Act 1990 </w:t>
      </w:r>
      <w:r>
        <w:t xml:space="preserve">as it would neither preserve or enhance the character and appearance of the area. </w:t>
      </w: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04767BD8" w14:textId="7DCAE756" w:rsidR="00F86F4B" w:rsidRPr="00D626C3" w:rsidRDefault="000C7AFE" w:rsidP="00F86F4B">
      <w:pPr>
        <w:pStyle w:val="Default"/>
        <w:jc w:val="both"/>
        <w:rPr>
          <w:rFonts w:cstheme="minorHAnsi"/>
          <w:sz w:val="22"/>
          <w:szCs w:val="22"/>
        </w:rPr>
      </w:pPr>
      <w:r>
        <w:rPr>
          <w:rFonts w:cstheme="minorHAnsi"/>
          <w:b/>
          <w:bCs/>
          <w:sz w:val="22"/>
          <w:szCs w:val="22"/>
        </w:rPr>
        <w:t xml:space="preserve">OBJECTION </w:t>
      </w:r>
    </w:p>
    <w:p w14:paraId="220460CD" w14:textId="1D025577" w:rsidR="00D626C3" w:rsidRPr="00D626C3" w:rsidRDefault="00D626C3" w:rsidP="00F86F4B">
      <w:pPr>
        <w:pStyle w:val="Default"/>
        <w:jc w:val="both"/>
        <w:rPr>
          <w:rFonts w:cstheme="minorHAnsi"/>
          <w:sz w:val="22"/>
          <w:szCs w:val="22"/>
        </w:rPr>
      </w:pP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72618"/>
    <w:multiLevelType w:val="hybridMultilevel"/>
    <w:tmpl w:val="77FC88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8"/>
  </w:num>
  <w:num w:numId="7" w16cid:durableId="374933229">
    <w:abstractNumId w:val="9"/>
  </w:num>
  <w:num w:numId="8" w16cid:durableId="907615647">
    <w:abstractNumId w:val="7"/>
  </w:num>
  <w:num w:numId="9" w16cid:durableId="1637681123">
    <w:abstractNumId w:val="1"/>
  </w:num>
  <w:num w:numId="10" w16cid:durableId="385304237">
    <w:abstractNumId w:val="10"/>
  </w:num>
  <w:num w:numId="11" w16cid:durableId="16654757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245"/>
    <w:rsid w:val="000C2B35"/>
    <w:rsid w:val="000C7AFE"/>
    <w:rsid w:val="000D155D"/>
    <w:rsid w:val="000D6036"/>
    <w:rsid w:val="00123301"/>
    <w:rsid w:val="00185510"/>
    <w:rsid w:val="00187FF9"/>
    <w:rsid w:val="00197FEE"/>
    <w:rsid w:val="001C3AF7"/>
    <w:rsid w:val="001C75DA"/>
    <w:rsid w:val="001F385A"/>
    <w:rsid w:val="002121C1"/>
    <w:rsid w:val="00244ADB"/>
    <w:rsid w:val="00272D95"/>
    <w:rsid w:val="00272FC3"/>
    <w:rsid w:val="00280006"/>
    <w:rsid w:val="002A79BA"/>
    <w:rsid w:val="002B284B"/>
    <w:rsid w:val="002B3D0D"/>
    <w:rsid w:val="002D0D6B"/>
    <w:rsid w:val="002D765C"/>
    <w:rsid w:val="00307608"/>
    <w:rsid w:val="00332A3A"/>
    <w:rsid w:val="00346F83"/>
    <w:rsid w:val="003506DF"/>
    <w:rsid w:val="00361FE7"/>
    <w:rsid w:val="00376316"/>
    <w:rsid w:val="003F10F2"/>
    <w:rsid w:val="003F25F0"/>
    <w:rsid w:val="003F414D"/>
    <w:rsid w:val="003F76FA"/>
    <w:rsid w:val="00410C73"/>
    <w:rsid w:val="00412C64"/>
    <w:rsid w:val="00440348"/>
    <w:rsid w:val="004542E1"/>
    <w:rsid w:val="00463D6A"/>
    <w:rsid w:val="004659F2"/>
    <w:rsid w:val="00471D44"/>
    <w:rsid w:val="004A129E"/>
    <w:rsid w:val="004A7F62"/>
    <w:rsid w:val="004F6F64"/>
    <w:rsid w:val="00501301"/>
    <w:rsid w:val="00512EFE"/>
    <w:rsid w:val="0053206B"/>
    <w:rsid w:val="0058224A"/>
    <w:rsid w:val="00584600"/>
    <w:rsid w:val="005C1632"/>
    <w:rsid w:val="005E71CD"/>
    <w:rsid w:val="00622171"/>
    <w:rsid w:val="00624647"/>
    <w:rsid w:val="00662692"/>
    <w:rsid w:val="00673AA1"/>
    <w:rsid w:val="006855AA"/>
    <w:rsid w:val="0069659F"/>
    <w:rsid w:val="006A54BC"/>
    <w:rsid w:val="006A7AB9"/>
    <w:rsid w:val="006B5B64"/>
    <w:rsid w:val="006E6F28"/>
    <w:rsid w:val="006F2359"/>
    <w:rsid w:val="007565B2"/>
    <w:rsid w:val="00781A72"/>
    <w:rsid w:val="0079447F"/>
    <w:rsid w:val="0079518A"/>
    <w:rsid w:val="007A35EF"/>
    <w:rsid w:val="00802435"/>
    <w:rsid w:val="00852456"/>
    <w:rsid w:val="00862FC1"/>
    <w:rsid w:val="008726D6"/>
    <w:rsid w:val="008761AD"/>
    <w:rsid w:val="008B0A38"/>
    <w:rsid w:val="008D4131"/>
    <w:rsid w:val="00901AF2"/>
    <w:rsid w:val="0091676B"/>
    <w:rsid w:val="00930C2D"/>
    <w:rsid w:val="009327D6"/>
    <w:rsid w:val="00980463"/>
    <w:rsid w:val="00984F41"/>
    <w:rsid w:val="009D3585"/>
    <w:rsid w:val="009E2F11"/>
    <w:rsid w:val="009F782C"/>
    <w:rsid w:val="00A07E34"/>
    <w:rsid w:val="00A111F1"/>
    <w:rsid w:val="00A20CAF"/>
    <w:rsid w:val="00A23626"/>
    <w:rsid w:val="00A27442"/>
    <w:rsid w:val="00A35B7A"/>
    <w:rsid w:val="00A54386"/>
    <w:rsid w:val="00A63170"/>
    <w:rsid w:val="00A7172A"/>
    <w:rsid w:val="00A71E05"/>
    <w:rsid w:val="00AB323F"/>
    <w:rsid w:val="00AD5038"/>
    <w:rsid w:val="00AF354D"/>
    <w:rsid w:val="00B32D3E"/>
    <w:rsid w:val="00B42C4C"/>
    <w:rsid w:val="00B55D75"/>
    <w:rsid w:val="00B82954"/>
    <w:rsid w:val="00B90DFC"/>
    <w:rsid w:val="00B9513E"/>
    <w:rsid w:val="00BD1FE0"/>
    <w:rsid w:val="00BE1379"/>
    <w:rsid w:val="00BE1F2E"/>
    <w:rsid w:val="00BE360F"/>
    <w:rsid w:val="00BE59F6"/>
    <w:rsid w:val="00BF67AB"/>
    <w:rsid w:val="00C02690"/>
    <w:rsid w:val="00C05141"/>
    <w:rsid w:val="00C1074B"/>
    <w:rsid w:val="00C11393"/>
    <w:rsid w:val="00C2652D"/>
    <w:rsid w:val="00C32090"/>
    <w:rsid w:val="00C76890"/>
    <w:rsid w:val="00CA11A3"/>
    <w:rsid w:val="00CC7B4C"/>
    <w:rsid w:val="00CD4C97"/>
    <w:rsid w:val="00CE4CC6"/>
    <w:rsid w:val="00D10755"/>
    <w:rsid w:val="00D36325"/>
    <w:rsid w:val="00D4408D"/>
    <w:rsid w:val="00D4474D"/>
    <w:rsid w:val="00D626C3"/>
    <w:rsid w:val="00D862C6"/>
    <w:rsid w:val="00DA19B4"/>
    <w:rsid w:val="00DD38FB"/>
    <w:rsid w:val="00E10CD5"/>
    <w:rsid w:val="00E236AF"/>
    <w:rsid w:val="00E307EA"/>
    <w:rsid w:val="00E31470"/>
    <w:rsid w:val="00E31B3A"/>
    <w:rsid w:val="00E436C1"/>
    <w:rsid w:val="00E604DA"/>
    <w:rsid w:val="00E8381B"/>
    <w:rsid w:val="00EA43A9"/>
    <w:rsid w:val="00EF0C74"/>
    <w:rsid w:val="00F14AFD"/>
    <w:rsid w:val="00F45927"/>
    <w:rsid w:val="00F543E1"/>
    <w:rsid w:val="00F55D8A"/>
    <w:rsid w:val="00F84D3D"/>
    <w:rsid w:val="00F86F4B"/>
    <w:rsid w:val="00F91CAF"/>
    <w:rsid w:val="00F91FE6"/>
    <w:rsid w:val="00FE4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uiPriority w:val="99"/>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6CE2B-48B9-4A9C-8DDC-06F5E093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cp:lastPrinted>2023-05-16T08:59:00Z</cp:lastPrinted>
  <dcterms:created xsi:type="dcterms:W3CDTF">2024-04-10T11:48:00Z</dcterms:created>
  <dcterms:modified xsi:type="dcterms:W3CDTF">2024-04-10T14:04:00Z</dcterms:modified>
</cp:coreProperties>
</file>