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A139C8" w14:textId="77777777" w:rsidR="00B1267F" w:rsidRDefault="00B1267F" w:rsidP="00B1267F">
      <w:pPr>
        <w:pStyle w:val="NoSpacing"/>
        <w:rPr>
          <w:rStyle w:val="Strong"/>
          <w:rFonts w:ascii="Segoe UI" w:eastAsiaTheme="majorEastAsia" w:hAnsi="Segoe UI" w:cs="Segoe UI"/>
          <w:color w:val="0D0D0D"/>
          <w:bdr w:val="single" w:sz="2" w:space="0" w:color="E3E3E3" w:frame="1"/>
        </w:rPr>
      </w:pPr>
      <w:r>
        <w:rPr>
          <w:rStyle w:val="Strong"/>
          <w:rFonts w:ascii="Segoe UI" w:eastAsiaTheme="majorEastAsia" w:hAnsi="Segoe UI" w:cs="Segoe UI"/>
          <w:color w:val="0D0D0D"/>
          <w:bdr w:val="single" w:sz="2" w:space="0" w:color="E3E3E3" w:frame="1"/>
        </w:rPr>
        <w:t>Addendum To FRA</w:t>
      </w:r>
    </w:p>
    <w:p w14:paraId="154955D2" w14:textId="68C9DA8F" w:rsidR="00B1267F" w:rsidRDefault="00B1267F" w:rsidP="00B1267F">
      <w:pPr>
        <w:pStyle w:val="NoSpacing"/>
        <w:rPr>
          <w:rStyle w:val="Strong"/>
          <w:rFonts w:ascii="Segoe UI" w:eastAsiaTheme="majorEastAsia" w:hAnsi="Segoe UI" w:cs="Segoe UI"/>
          <w:color w:val="0D0D0D"/>
          <w:bdr w:val="single" w:sz="2" w:space="0" w:color="E3E3E3" w:frame="1"/>
        </w:rPr>
      </w:pPr>
      <w:r>
        <w:rPr>
          <w:rStyle w:val="Strong"/>
          <w:rFonts w:ascii="Segoe UI" w:eastAsiaTheme="majorEastAsia" w:hAnsi="Segoe UI" w:cs="Segoe UI"/>
          <w:color w:val="0D0D0D"/>
          <w:bdr w:val="single" w:sz="2" w:space="0" w:color="E3E3E3" w:frame="1"/>
        </w:rPr>
        <w:t>Former Substation</w:t>
      </w:r>
    </w:p>
    <w:p w14:paraId="0134F970" w14:textId="1DD22C89" w:rsidR="00B1267F" w:rsidRDefault="00B1267F" w:rsidP="00B1267F">
      <w:pPr>
        <w:pStyle w:val="NoSpacing"/>
        <w:rPr>
          <w:rStyle w:val="Strong"/>
          <w:rFonts w:ascii="Segoe UI" w:eastAsiaTheme="majorEastAsia" w:hAnsi="Segoe UI" w:cs="Segoe UI"/>
          <w:color w:val="0D0D0D"/>
          <w:bdr w:val="single" w:sz="2" w:space="0" w:color="E3E3E3" w:frame="1"/>
        </w:rPr>
      </w:pPr>
      <w:r>
        <w:rPr>
          <w:rStyle w:val="Strong"/>
          <w:rFonts w:ascii="Segoe UI" w:eastAsiaTheme="majorEastAsia" w:hAnsi="Segoe UI" w:cs="Segoe UI"/>
          <w:color w:val="0D0D0D"/>
          <w:bdr w:val="single" w:sz="2" w:space="0" w:color="E3E3E3" w:frame="1"/>
        </w:rPr>
        <w:t>Nutbourne Road</w:t>
      </w:r>
    </w:p>
    <w:p w14:paraId="0706FB0E" w14:textId="3A5187EC" w:rsidR="00B1267F" w:rsidRDefault="00B1267F" w:rsidP="00B1267F">
      <w:pPr>
        <w:pStyle w:val="NoSpacing"/>
        <w:rPr>
          <w:rStyle w:val="Strong"/>
          <w:rFonts w:ascii="Segoe UI" w:eastAsiaTheme="majorEastAsia" w:hAnsi="Segoe UI" w:cs="Segoe UI"/>
          <w:color w:val="0D0D0D"/>
          <w:bdr w:val="single" w:sz="2" w:space="0" w:color="E3E3E3" w:frame="1"/>
        </w:rPr>
      </w:pPr>
      <w:r>
        <w:rPr>
          <w:rStyle w:val="Strong"/>
          <w:rFonts w:ascii="Segoe UI" w:eastAsiaTheme="majorEastAsia" w:hAnsi="Segoe UI" w:cs="Segoe UI"/>
          <w:color w:val="0D0D0D"/>
          <w:bdr w:val="single" w:sz="2" w:space="0" w:color="E3E3E3" w:frame="1"/>
        </w:rPr>
        <w:t>Hayling Island</w:t>
      </w:r>
    </w:p>
    <w:p w14:paraId="02F92958" w14:textId="0ADACD69" w:rsidR="00B1267F" w:rsidRDefault="00B1267F" w:rsidP="00B1267F">
      <w:pPr>
        <w:pStyle w:val="NormalWeb"/>
        <w:pBdr>
          <w:top w:val="single" w:sz="2" w:space="0" w:color="E3E3E3"/>
          <w:left w:val="single" w:sz="2" w:space="5" w:color="E3E3E3"/>
          <w:bottom w:val="single" w:sz="2" w:space="0" w:color="E3E3E3"/>
          <w:right w:val="single" w:sz="2" w:space="0" w:color="E3E3E3"/>
        </w:pBdr>
        <w:shd w:val="clear" w:color="auto" w:fill="FFFFFF"/>
        <w:spacing w:before="300" w:beforeAutospacing="0" w:after="300" w:afterAutospacing="0"/>
        <w:ind w:left="360"/>
        <w:rPr>
          <w:rFonts w:ascii="Segoe UI" w:hAnsi="Segoe UI" w:cs="Segoe UI"/>
          <w:color w:val="0D0D0D"/>
        </w:rPr>
      </w:pPr>
      <w:r>
        <w:rPr>
          <w:rStyle w:val="Strong"/>
          <w:rFonts w:ascii="Segoe UI" w:eastAsiaTheme="majorEastAsia" w:hAnsi="Segoe UI" w:cs="Segoe UI"/>
          <w:color w:val="0D0D0D"/>
          <w:bdr w:val="single" w:sz="2" w:space="0" w:color="E3E3E3" w:frame="1"/>
        </w:rPr>
        <w:t>Confirmation of Enrolment in Flood Warning Alerts:</w:t>
      </w:r>
    </w:p>
    <w:p w14:paraId="2BB3C29A" w14:textId="77777777" w:rsidR="00B1267F" w:rsidRDefault="00B1267F" w:rsidP="00B1267F">
      <w:pPr>
        <w:pStyle w:val="NormalWeb"/>
        <w:pBdr>
          <w:top w:val="single" w:sz="2" w:space="0" w:color="E3E3E3"/>
          <w:left w:val="single" w:sz="2" w:space="5" w:color="E3E3E3"/>
          <w:bottom w:val="single" w:sz="2" w:space="0" w:color="E3E3E3"/>
          <w:right w:val="single" w:sz="2" w:space="0" w:color="E3E3E3"/>
        </w:pBdr>
        <w:shd w:val="clear" w:color="auto" w:fill="FFFFFF"/>
        <w:spacing w:before="300" w:beforeAutospacing="0" w:after="300" w:afterAutospacing="0"/>
        <w:ind w:left="720"/>
        <w:rPr>
          <w:rFonts w:ascii="Segoe UI" w:hAnsi="Segoe UI" w:cs="Segoe UI"/>
          <w:color w:val="0D0D0D"/>
        </w:rPr>
      </w:pPr>
      <w:r>
        <w:rPr>
          <w:rFonts w:ascii="Segoe UI" w:hAnsi="Segoe UI" w:cs="Segoe UI"/>
          <w:color w:val="0D0D0D"/>
        </w:rPr>
        <w:t xml:space="preserve">We confirm that we will sign up for Flood Warning Alerts, and the property will not be let during times of flood warnings. Additionally, a flood warning and education plan will </w:t>
      </w:r>
      <w:proofErr w:type="gramStart"/>
      <w:r>
        <w:rPr>
          <w:rFonts w:ascii="Segoe UI" w:hAnsi="Segoe UI" w:cs="Segoe UI"/>
          <w:color w:val="0D0D0D"/>
        </w:rPr>
        <w:t>be readily available on the property at all times</w:t>
      </w:r>
      <w:proofErr w:type="gramEnd"/>
      <w:r>
        <w:rPr>
          <w:rFonts w:ascii="Segoe UI" w:hAnsi="Segoe UI" w:cs="Segoe UI"/>
          <w:color w:val="0D0D0D"/>
        </w:rPr>
        <w:t>.</w:t>
      </w:r>
    </w:p>
    <w:p w14:paraId="2A3D592D" w14:textId="77777777" w:rsidR="00B1267F" w:rsidRDefault="00B1267F" w:rsidP="00B1267F">
      <w:pPr>
        <w:pStyle w:val="NormalWeb"/>
        <w:numPr>
          <w:ilvl w:val="0"/>
          <w:numId w:val="1"/>
        </w:numPr>
        <w:pBdr>
          <w:top w:val="single" w:sz="2" w:space="0" w:color="E3E3E3"/>
          <w:left w:val="single" w:sz="2" w:space="5"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Style w:val="Strong"/>
          <w:rFonts w:ascii="Segoe UI" w:eastAsiaTheme="majorEastAsia" w:hAnsi="Segoe UI" w:cs="Segoe UI"/>
          <w:color w:val="0D0D0D"/>
          <w:bdr w:val="single" w:sz="2" w:space="0" w:color="E3E3E3" w:frame="1"/>
        </w:rPr>
        <w:t>Update on the Evacuation Section:</w:t>
      </w:r>
    </w:p>
    <w:p w14:paraId="0E92EBEB" w14:textId="77777777" w:rsidR="00B1267F" w:rsidRDefault="00B1267F" w:rsidP="00B1267F">
      <w:pPr>
        <w:pStyle w:val="NormalWeb"/>
        <w:pBdr>
          <w:top w:val="single" w:sz="2" w:space="0" w:color="E3E3E3"/>
          <w:left w:val="single" w:sz="2" w:space="5" w:color="E3E3E3"/>
          <w:bottom w:val="single" w:sz="2" w:space="0" w:color="E3E3E3"/>
          <w:right w:val="single" w:sz="2" w:space="0" w:color="E3E3E3"/>
        </w:pBdr>
        <w:shd w:val="clear" w:color="auto" w:fill="FFFFFF"/>
        <w:spacing w:before="300" w:beforeAutospacing="0" w:after="300" w:afterAutospacing="0"/>
        <w:ind w:left="720"/>
        <w:rPr>
          <w:rFonts w:ascii="Segoe UI" w:hAnsi="Segoe UI" w:cs="Segoe UI"/>
          <w:color w:val="0D0D0D"/>
        </w:rPr>
      </w:pPr>
      <w:r>
        <w:rPr>
          <w:rFonts w:ascii="Segoe UI" w:hAnsi="Segoe UI" w:cs="Segoe UI"/>
          <w:color w:val="0D0D0D"/>
        </w:rPr>
        <w:t xml:space="preserve">It is noted that an evacuation route cannot pass through a current Flood Zone area. Regrettably, it is not feasible to establish an evacuation route that entirely avoids Flood Zone 2. However, it's essential to highlight that the site benefits from flood </w:t>
      </w:r>
      <w:proofErr w:type="spellStart"/>
      <w:r>
        <w:rPr>
          <w:rFonts w:ascii="Segoe UI" w:hAnsi="Segoe UI" w:cs="Segoe UI"/>
          <w:color w:val="0D0D0D"/>
        </w:rPr>
        <w:t>defenses</w:t>
      </w:r>
      <w:proofErr w:type="spellEnd"/>
      <w:r>
        <w:rPr>
          <w:rFonts w:ascii="Segoe UI" w:hAnsi="Segoe UI" w:cs="Segoe UI"/>
          <w:color w:val="0D0D0D"/>
        </w:rPr>
        <w:t>, and there will be a 24-hour flood alert system in place. This will afford ample time to evacuate the property. Moreover, the time required to reach a safe area outside the flood zone is less than 10 minutes on foot.</w:t>
      </w:r>
    </w:p>
    <w:p w14:paraId="00EEA2B9" w14:textId="300EDA71" w:rsidR="00D46887" w:rsidRDefault="00D46887" w:rsidP="00D46887">
      <w:pPr>
        <w:pStyle w:val="NormalWeb"/>
        <w:pBdr>
          <w:top w:val="single" w:sz="2" w:space="0" w:color="E3E3E3"/>
          <w:left w:val="single" w:sz="2" w:space="5" w:color="E3E3E3"/>
          <w:bottom w:val="single" w:sz="2" w:space="0" w:color="E3E3E3"/>
          <w:right w:val="single" w:sz="2" w:space="0" w:color="E3E3E3"/>
        </w:pBdr>
        <w:shd w:val="clear" w:color="auto" w:fill="FFFFFF"/>
        <w:spacing w:before="300" w:beforeAutospacing="0" w:after="300" w:afterAutospacing="0"/>
        <w:ind w:left="720"/>
        <w:rPr>
          <w:rFonts w:ascii="Segoe UI" w:hAnsi="Segoe UI" w:cs="Segoe UI"/>
          <w:color w:val="0D0D0D"/>
        </w:rPr>
      </w:pPr>
      <w:r>
        <w:rPr>
          <w:rFonts w:ascii="Segoe UI" w:hAnsi="Segoe UI" w:cs="Segoe UI"/>
          <w:noProof/>
          <w:color w:val="0D0D0D"/>
        </w:rPr>
        <w:drawing>
          <wp:inline distT="0" distB="0" distL="0" distR="0" wp14:anchorId="5123FA03" wp14:editId="24875F7F">
            <wp:extent cx="5730875" cy="4285615"/>
            <wp:effectExtent l="0" t="0" r="3175" b="635"/>
            <wp:docPr id="1014398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0875" cy="4285615"/>
                    </a:xfrm>
                    <a:prstGeom prst="rect">
                      <a:avLst/>
                    </a:prstGeom>
                    <a:noFill/>
                  </pic:spPr>
                </pic:pic>
              </a:graphicData>
            </a:graphic>
          </wp:inline>
        </w:drawing>
      </w:r>
    </w:p>
    <w:p w14:paraId="35713E4F" w14:textId="77777777" w:rsidR="00B1267F" w:rsidRDefault="00B1267F" w:rsidP="00B1267F">
      <w:pPr>
        <w:pStyle w:val="NormalWeb"/>
        <w:numPr>
          <w:ilvl w:val="0"/>
          <w:numId w:val="1"/>
        </w:numPr>
        <w:pBdr>
          <w:top w:val="single" w:sz="2" w:space="0" w:color="E3E3E3"/>
          <w:left w:val="single" w:sz="2" w:space="5"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Style w:val="Strong"/>
          <w:rFonts w:ascii="Segoe UI" w:eastAsiaTheme="majorEastAsia" w:hAnsi="Segoe UI" w:cs="Segoe UI"/>
          <w:color w:val="0D0D0D"/>
          <w:bdr w:val="single" w:sz="2" w:space="0" w:color="E3E3E3" w:frame="1"/>
        </w:rPr>
        <w:lastRenderedPageBreak/>
        <w:t>Completion of Flood Resilience Measures Table:</w:t>
      </w:r>
    </w:p>
    <w:p w14:paraId="54702F6B" w14:textId="77777777" w:rsidR="00B1267F" w:rsidRDefault="00B1267F" w:rsidP="00B1267F">
      <w:pPr>
        <w:pStyle w:val="NormalWeb"/>
        <w:pBdr>
          <w:top w:val="single" w:sz="2" w:space="0" w:color="E3E3E3"/>
          <w:left w:val="single" w:sz="2" w:space="5" w:color="E3E3E3"/>
          <w:bottom w:val="single" w:sz="2" w:space="0" w:color="E3E3E3"/>
          <w:right w:val="single" w:sz="2" w:space="0" w:color="E3E3E3"/>
        </w:pBdr>
        <w:shd w:val="clear" w:color="auto" w:fill="FFFFFF"/>
        <w:spacing w:before="300" w:beforeAutospacing="0" w:after="300" w:afterAutospacing="0"/>
        <w:ind w:left="720"/>
        <w:rPr>
          <w:rFonts w:ascii="Segoe UI" w:hAnsi="Segoe UI" w:cs="Segoe UI"/>
          <w:color w:val="0D0D0D"/>
        </w:rPr>
      </w:pPr>
      <w:r>
        <w:rPr>
          <w:rFonts w:ascii="Segoe UI" w:hAnsi="Segoe UI" w:cs="Segoe UI"/>
          <w:color w:val="0D0D0D"/>
        </w:rPr>
        <w:t>Please refer to the attached document for the completed table outlining the flood resilience measures to be implemented. Additionally, detailed information on these measures is provided in section 6 of the flood risk assessment report.</w:t>
      </w:r>
    </w:p>
    <w:p w14:paraId="7B5BF2DC" w14:textId="77777777" w:rsidR="00B1267F" w:rsidRDefault="00B1267F" w:rsidP="00B1267F">
      <w:pPr>
        <w:autoSpaceDE w:val="0"/>
        <w:autoSpaceDN w:val="0"/>
        <w:adjustRightInd w:val="0"/>
        <w:spacing w:after="0" w:line="240" w:lineRule="auto"/>
        <w:rPr>
          <w:rFonts w:ascii="Calibri" w:hAnsi="Calibri" w:cs="Calibri"/>
          <w:color w:val="000000"/>
          <w:kern w:val="0"/>
        </w:rPr>
      </w:pPr>
    </w:p>
    <w:p w14:paraId="19A3499D" w14:textId="777D161A"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Section 6</w:t>
      </w:r>
      <w:r w:rsidR="00D46887">
        <w:rPr>
          <w:rFonts w:ascii="Calibri" w:hAnsi="Calibri" w:cs="Calibri"/>
          <w:color w:val="000000"/>
          <w:kern w:val="0"/>
        </w:rPr>
        <w:t xml:space="preserve"> Extract</w:t>
      </w:r>
      <w:r>
        <w:rPr>
          <w:rFonts w:ascii="Calibri" w:hAnsi="Calibri" w:cs="Calibri"/>
          <w:color w:val="000000"/>
          <w:kern w:val="0"/>
        </w:rPr>
        <w:t xml:space="preserve">: </w:t>
      </w:r>
    </w:p>
    <w:p w14:paraId="612D61DE" w14:textId="77777777" w:rsidR="00B1267F" w:rsidRDefault="00B1267F" w:rsidP="00B1267F">
      <w:pPr>
        <w:autoSpaceDE w:val="0"/>
        <w:autoSpaceDN w:val="0"/>
        <w:adjustRightInd w:val="0"/>
        <w:spacing w:after="0" w:line="240" w:lineRule="auto"/>
        <w:rPr>
          <w:rFonts w:ascii="Calibri" w:hAnsi="Calibri" w:cs="Calibri"/>
          <w:color w:val="000000"/>
          <w:kern w:val="0"/>
        </w:rPr>
      </w:pPr>
    </w:p>
    <w:p w14:paraId="5008F8E0"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There are not changes to the levels of the building neither </w:t>
      </w:r>
      <w:proofErr w:type="gramStart"/>
      <w:r>
        <w:rPr>
          <w:rFonts w:ascii="Calibri" w:hAnsi="Calibri" w:cs="Calibri"/>
          <w:color w:val="000000"/>
          <w:kern w:val="0"/>
        </w:rPr>
        <w:t>major</w:t>
      </w:r>
      <w:proofErr w:type="gramEnd"/>
    </w:p>
    <w:p w14:paraId="034094AD"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changes to the fabric of the building.</w:t>
      </w:r>
    </w:p>
    <w:p w14:paraId="5F946885" w14:textId="77777777" w:rsidR="00B1267F" w:rsidRDefault="00B1267F" w:rsidP="00B1267F">
      <w:pPr>
        <w:autoSpaceDE w:val="0"/>
        <w:autoSpaceDN w:val="0"/>
        <w:adjustRightInd w:val="0"/>
        <w:spacing w:after="0" w:line="240" w:lineRule="auto"/>
        <w:rPr>
          <w:rFonts w:ascii="Calibri" w:hAnsi="Calibri" w:cs="Calibri"/>
          <w:color w:val="000000"/>
          <w:kern w:val="0"/>
          <w:sz w:val="18"/>
          <w:szCs w:val="18"/>
        </w:rPr>
      </w:pPr>
      <w:r>
        <w:rPr>
          <w:rFonts w:ascii="Calibri" w:hAnsi="Calibri" w:cs="Calibri"/>
          <w:color w:val="000000"/>
          <w:kern w:val="0"/>
          <w:sz w:val="18"/>
          <w:szCs w:val="18"/>
        </w:rPr>
        <w:t>12 of 19</w:t>
      </w:r>
    </w:p>
    <w:p w14:paraId="3DA1E106" w14:textId="77777777" w:rsidR="00B1267F" w:rsidRDefault="00B1267F" w:rsidP="00B1267F">
      <w:pPr>
        <w:autoSpaceDE w:val="0"/>
        <w:autoSpaceDN w:val="0"/>
        <w:adjustRightInd w:val="0"/>
        <w:spacing w:after="0" w:line="240" w:lineRule="auto"/>
        <w:rPr>
          <w:rFonts w:ascii="Arial" w:hAnsi="Arial" w:cs="Arial"/>
          <w:b/>
          <w:bCs/>
          <w:color w:val="00B1F1"/>
          <w:kern w:val="0"/>
          <w:sz w:val="36"/>
          <w:szCs w:val="36"/>
        </w:rPr>
      </w:pPr>
    </w:p>
    <w:p w14:paraId="73010CDF" w14:textId="516227E8" w:rsidR="00B1267F" w:rsidRDefault="00B1267F" w:rsidP="00B1267F">
      <w:pPr>
        <w:autoSpaceDE w:val="0"/>
        <w:autoSpaceDN w:val="0"/>
        <w:adjustRightInd w:val="0"/>
        <w:spacing w:after="0" w:line="240" w:lineRule="auto"/>
        <w:rPr>
          <w:rFonts w:ascii="Arial" w:hAnsi="Arial" w:cs="Arial"/>
          <w:b/>
          <w:bCs/>
          <w:color w:val="FFFFFF"/>
          <w:kern w:val="0"/>
          <w:sz w:val="36"/>
          <w:szCs w:val="36"/>
        </w:rPr>
      </w:pPr>
      <w:r>
        <w:rPr>
          <w:rFonts w:ascii="Arial" w:hAnsi="Arial" w:cs="Arial"/>
          <w:b/>
          <w:bCs/>
          <w:color w:val="00B1F1"/>
          <w:kern w:val="0"/>
          <w:sz w:val="36"/>
          <w:szCs w:val="36"/>
        </w:rPr>
        <w:t xml:space="preserve">Flood Risk Management </w:t>
      </w:r>
      <w:r>
        <w:rPr>
          <w:rFonts w:ascii="Arial" w:hAnsi="Arial" w:cs="Arial"/>
          <w:b/>
          <w:bCs/>
          <w:color w:val="FFFFFF"/>
          <w:kern w:val="0"/>
          <w:sz w:val="36"/>
          <w:szCs w:val="36"/>
        </w:rPr>
        <w:t>6</w:t>
      </w:r>
    </w:p>
    <w:p w14:paraId="61B69B01" w14:textId="064272AF"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use ceramic, stone or concrete-based tiled surfaces to floors and</w:t>
      </w:r>
    </w:p>
    <w:p w14:paraId="35655306"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skirtings (with cement-based adhesive and water-resistant grout) ideally</w:t>
      </w:r>
    </w:p>
    <w:p w14:paraId="0B2EE8F8"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draining to a floor sump pump; paint timber skirtings on the reverse</w:t>
      </w:r>
    </w:p>
    <w:p w14:paraId="21AC3921"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before </w:t>
      </w:r>
      <w:proofErr w:type="gramStart"/>
      <w:r>
        <w:rPr>
          <w:rFonts w:ascii="Calibri" w:hAnsi="Calibri" w:cs="Calibri"/>
          <w:color w:val="000000"/>
          <w:kern w:val="0"/>
        </w:rPr>
        <w:t>fitting;</w:t>
      </w:r>
      <w:proofErr w:type="gramEnd"/>
      <w:r>
        <w:rPr>
          <w:rFonts w:ascii="Calibri" w:hAnsi="Calibri" w:cs="Calibri"/>
          <w:color w:val="000000"/>
          <w:kern w:val="0"/>
        </w:rPr>
        <w:t xml:space="preserve"> avoid concrete screeds above insulation; damp-proof</w:t>
      </w:r>
    </w:p>
    <w:p w14:paraId="671861F4"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courses and membranes should be durable (minimum 1200 gauge for</w:t>
      </w:r>
    </w:p>
    <w:p w14:paraId="2D72CBF9"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polythene) with laps, and use closed-cell insulation.</w:t>
      </w:r>
    </w:p>
    <w:p w14:paraId="2807CC60" w14:textId="672158B7" w:rsidR="00B1267F" w:rsidRDefault="00B1267F" w:rsidP="00B1267F">
      <w:pPr>
        <w:autoSpaceDE w:val="0"/>
        <w:autoSpaceDN w:val="0"/>
        <w:adjustRightInd w:val="0"/>
        <w:spacing w:after="0" w:line="240" w:lineRule="auto"/>
        <w:rPr>
          <w:rFonts w:ascii="PalatinoLinotype-Roman" w:hAnsi="PalatinoLinotype-Roman" w:cs="PalatinoLinotype-Roman"/>
          <w:color w:val="A7A7A7"/>
          <w:kern w:val="0"/>
          <w:sz w:val="20"/>
          <w:szCs w:val="20"/>
        </w:rPr>
      </w:pPr>
    </w:p>
    <w:p w14:paraId="33FF4D8C" w14:textId="77777777" w:rsidR="00B1267F" w:rsidRDefault="00B1267F" w:rsidP="00B1267F">
      <w:pPr>
        <w:autoSpaceDE w:val="0"/>
        <w:autoSpaceDN w:val="0"/>
        <w:adjustRightInd w:val="0"/>
        <w:spacing w:after="0" w:line="240" w:lineRule="auto"/>
        <w:rPr>
          <w:rFonts w:ascii="PalatinoLinotype-Roman" w:hAnsi="PalatinoLinotype-Roman" w:cs="PalatinoLinotype-Roman"/>
          <w:color w:val="A7A7A7"/>
          <w:kern w:val="0"/>
          <w:sz w:val="20"/>
          <w:szCs w:val="20"/>
        </w:rPr>
      </w:pPr>
    </w:p>
    <w:p w14:paraId="3B05C26E" w14:textId="77777777" w:rsidR="00B1267F" w:rsidRDefault="00B1267F" w:rsidP="00B1267F">
      <w:pPr>
        <w:autoSpaceDE w:val="0"/>
        <w:autoSpaceDN w:val="0"/>
        <w:adjustRightInd w:val="0"/>
        <w:spacing w:after="0" w:line="240" w:lineRule="auto"/>
        <w:rPr>
          <w:rFonts w:ascii="PalatinoLinotype-Roman" w:hAnsi="PalatinoLinotype-Roman" w:cs="PalatinoLinotype-Roman"/>
          <w:color w:val="A7A7A7"/>
          <w:kern w:val="0"/>
          <w:sz w:val="20"/>
          <w:szCs w:val="20"/>
        </w:rPr>
      </w:pPr>
    </w:p>
    <w:p w14:paraId="224B1E83" w14:textId="77777777" w:rsidR="00B1267F" w:rsidRDefault="00B1267F" w:rsidP="00B1267F">
      <w:pPr>
        <w:autoSpaceDE w:val="0"/>
        <w:autoSpaceDN w:val="0"/>
        <w:adjustRightInd w:val="0"/>
        <w:spacing w:after="0" w:line="240" w:lineRule="auto"/>
        <w:rPr>
          <w:rFonts w:ascii="PalatinoLinotype-Roman" w:hAnsi="PalatinoLinotype-Roman" w:cs="PalatinoLinotype-Roman"/>
          <w:color w:val="A7A7A7"/>
          <w:kern w:val="0"/>
          <w:sz w:val="20"/>
          <w:szCs w:val="20"/>
        </w:rPr>
      </w:pPr>
    </w:p>
    <w:p w14:paraId="4E384C33" w14:textId="6700BC77" w:rsidR="00B1267F" w:rsidRDefault="00B1267F" w:rsidP="00B1267F">
      <w:pPr>
        <w:autoSpaceDE w:val="0"/>
        <w:autoSpaceDN w:val="0"/>
        <w:adjustRightInd w:val="0"/>
        <w:spacing w:after="0" w:line="240" w:lineRule="auto"/>
        <w:rPr>
          <w:rFonts w:ascii="Calibri" w:hAnsi="Calibri" w:cs="Calibri"/>
          <w:color w:val="000000"/>
          <w:kern w:val="0"/>
        </w:rPr>
      </w:pPr>
      <w:r>
        <w:rPr>
          <w:rFonts w:ascii="PalatinoLinotype-Roman" w:hAnsi="PalatinoLinotype-Roman" w:cs="PalatinoLinotype-Roman"/>
          <w:color w:val="A7A7A7"/>
          <w:kern w:val="0"/>
          <w:sz w:val="20"/>
          <w:szCs w:val="20"/>
        </w:rPr>
        <w:t xml:space="preserve">6.8 </w:t>
      </w:r>
      <w:r>
        <w:rPr>
          <w:rFonts w:ascii="Calibri" w:hAnsi="Calibri" w:cs="Calibri"/>
          <w:color w:val="000000"/>
          <w:kern w:val="0"/>
        </w:rPr>
        <w:t xml:space="preserve">The design water depth for this site is 0.82m. The building should </w:t>
      </w:r>
      <w:proofErr w:type="gramStart"/>
      <w:r>
        <w:rPr>
          <w:rFonts w:ascii="Calibri" w:hAnsi="Calibri" w:cs="Calibri"/>
          <w:color w:val="000000"/>
          <w:kern w:val="0"/>
        </w:rPr>
        <w:t>utilise</w:t>
      </w:r>
      <w:proofErr w:type="gramEnd"/>
    </w:p>
    <w:p w14:paraId="60D02BC0"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building materials that are suitable for a ‘water exclusion strategy’.</w:t>
      </w:r>
    </w:p>
    <w:p w14:paraId="2D2B3BD1"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Materials classified as “Good” (highlighted in red) in the Figure </w:t>
      </w:r>
      <w:proofErr w:type="gramStart"/>
      <w:r>
        <w:rPr>
          <w:rFonts w:ascii="Calibri" w:hAnsi="Calibri" w:cs="Calibri"/>
          <w:color w:val="000000"/>
          <w:kern w:val="0"/>
        </w:rPr>
        <w:t>below</w:t>
      </w:r>
      <w:proofErr w:type="gramEnd"/>
    </w:p>
    <w:p w14:paraId="6EA29D4F"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shall be used for construction </w:t>
      </w:r>
      <w:proofErr w:type="spellStart"/>
      <w:r>
        <w:rPr>
          <w:rFonts w:ascii="Calibri" w:hAnsi="Calibri" w:cs="Calibri"/>
          <w:color w:val="000000"/>
          <w:kern w:val="0"/>
        </w:rPr>
        <w:t>upto</w:t>
      </w:r>
      <w:proofErr w:type="spellEnd"/>
      <w:r>
        <w:rPr>
          <w:rFonts w:ascii="Calibri" w:hAnsi="Calibri" w:cs="Calibri"/>
          <w:color w:val="000000"/>
          <w:kern w:val="0"/>
        </w:rPr>
        <w:t xml:space="preserve"> the water depth.</w:t>
      </w:r>
    </w:p>
    <w:p w14:paraId="4C306955" w14:textId="77777777" w:rsidR="00D46887" w:rsidRDefault="00D46887" w:rsidP="00B1267F">
      <w:pPr>
        <w:autoSpaceDE w:val="0"/>
        <w:autoSpaceDN w:val="0"/>
        <w:adjustRightInd w:val="0"/>
        <w:spacing w:after="0" w:line="240" w:lineRule="auto"/>
        <w:rPr>
          <w:rFonts w:ascii="Arial" w:hAnsi="Arial" w:cs="Arial"/>
          <w:b/>
          <w:bCs/>
          <w:color w:val="00B1F1"/>
          <w:kern w:val="0"/>
          <w:sz w:val="36"/>
          <w:szCs w:val="36"/>
        </w:rPr>
      </w:pPr>
    </w:p>
    <w:p w14:paraId="34A0792B" w14:textId="3DF0711E" w:rsidR="00B1267F" w:rsidRDefault="00B1267F" w:rsidP="00B1267F">
      <w:pPr>
        <w:autoSpaceDE w:val="0"/>
        <w:autoSpaceDN w:val="0"/>
        <w:adjustRightInd w:val="0"/>
        <w:spacing w:after="0" w:line="240" w:lineRule="auto"/>
        <w:rPr>
          <w:rFonts w:ascii="Arial" w:hAnsi="Arial" w:cs="Arial"/>
          <w:b/>
          <w:bCs/>
          <w:color w:val="FFFFFF"/>
          <w:kern w:val="0"/>
          <w:sz w:val="36"/>
          <w:szCs w:val="36"/>
        </w:rPr>
      </w:pPr>
      <w:r>
        <w:rPr>
          <w:rFonts w:ascii="Arial" w:hAnsi="Arial" w:cs="Arial"/>
          <w:b/>
          <w:bCs/>
          <w:color w:val="00B1F1"/>
          <w:kern w:val="0"/>
          <w:sz w:val="36"/>
          <w:szCs w:val="36"/>
        </w:rPr>
        <w:t xml:space="preserve">Flood Risk Management </w:t>
      </w:r>
      <w:r>
        <w:rPr>
          <w:rFonts w:ascii="Arial" w:hAnsi="Arial" w:cs="Arial"/>
          <w:b/>
          <w:bCs/>
          <w:color w:val="FFFFFF"/>
          <w:kern w:val="0"/>
          <w:sz w:val="36"/>
          <w:szCs w:val="36"/>
        </w:rPr>
        <w:t>6</w:t>
      </w:r>
    </w:p>
    <w:p w14:paraId="0B553AD8"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In areas where new walls are being installed – use closed-cell </w:t>
      </w:r>
      <w:proofErr w:type="gramStart"/>
      <w:r>
        <w:rPr>
          <w:rFonts w:ascii="Calibri" w:hAnsi="Calibri" w:cs="Calibri"/>
          <w:color w:val="000000"/>
          <w:kern w:val="0"/>
        </w:rPr>
        <w:t>insulation</w:t>
      </w:r>
      <w:proofErr w:type="gramEnd"/>
    </w:p>
    <w:p w14:paraId="5FBF2A3D"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below predicted flood level in external walls; specify </w:t>
      </w:r>
      <w:proofErr w:type="gramStart"/>
      <w:r>
        <w:rPr>
          <w:rFonts w:ascii="Calibri" w:hAnsi="Calibri" w:cs="Calibri"/>
          <w:color w:val="000000"/>
          <w:kern w:val="0"/>
        </w:rPr>
        <w:t>water-resistant</w:t>
      </w:r>
      <w:proofErr w:type="gramEnd"/>
    </w:p>
    <w:p w14:paraId="43C441B9"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walling materials such as pressed-face or engineering brick or </w:t>
      </w:r>
      <w:proofErr w:type="gramStart"/>
      <w:r>
        <w:rPr>
          <w:rFonts w:ascii="Calibri" w:hAnsi="Calibri" w:cs="Calibri"/>
          <w:color w:val="000000"/>
          <w:kern w:val="0"/>
        </w:rPr>
        <w:t>rendered</w:t>
      </w:r>
      <w:proofErr w:type="gramEnd"/>
    </w:p>
    <w:p w14:paraId="5B1A2EB2"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blockwork.</w:t>
      </w:r>
    </w:p>
    <w:p w14:paraId="167E505D"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In new walls use extended periscope subfloor ventilators or fit</w:t>
      </w:r>
    </w:p>
    <w:p w14:paraId="06DDB045"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removable airbrick covers; fix plasterboard sheets horizontally </w:t>
      </w:r>
      <w:proofErr w:type="gramStart"/>
      <w:r>
        <w:rPr>
          <w:rFonts w:ascii="Calibri" w:hAnsi="Calibri" w:cs="Calibri"/>
          <w:color w:val="000000"/>
          <w:kern w:val="0"/>
        </w:rPr>
        <w:t>rather</w:t>
      </w:r>
      <w:proofErr w:type="gramEnd"/>
    </w:p>
    <w:p w14:paraId="01BFE830"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than vertically, or split sheets mid-height with a dado rail, to reduce the</w:t>
      </w:r>
    </w:p>
    <w:p w14:paraId="3A3B37DA"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extent of replacement; specify lime- or cement-based </w:t>
      </w:r>
      <w:proofErr w:type="gramStart"/>
      <w:r>
        <w:rPr>
          <w:rFonts w:ascii="Calibri" w:hAnsi="Calibri" w:cs="Calibri"/>
          <w:color w:val="000000"/>
          <w:kern w:val="0"/>
        </w:rPr>
        <w:t>renovating</w:t>
      </w:r>
      <w:proofErr w:type="gramEnd"/>
    </w:p>
    <w:p w14:paraId="0CDA8BCE"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plasters or renders rather than gypsum-based, with water-resistant </w:t>
      </w:r>
      <w:proofErr w:type="gramStart"/>
      <w:r>
        <w:rPr>
          <w:rFonts w:ascii="Calibri" w:hAnsi="Calibri" w:cs="Calibri"/>
          <w:color w:val="000000"/>
          <w:kern w:val="0"/>
        </w:rPr>
        <w:t>paint</w:t>
      </w:r>
      <w:proofErr w:type="gramEnd"/>
    </w:p>
    <w:p w14:paraId="37320DA4"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finishes. The use of </w:t>
      </w:r>
      <w:proofErr w:type="gramStart"/>
      <w:r>
        <w:rPr>
          <w:rFonts w:ascii="Calibri" w:hAnsi="Calibri" w:cs="Calibri"/>
          <w:color w:val="000000"/>
          <w:kern w:val="0"/>
        </w:rPr>
        <w:t>water-proof</w:t>
      </w:r>
      <w:proofErr w:type="gramEnd"/>
      <w:r>
        <w:rPr>
          <w:rFonts w:ascii="Calibri" w:hAnsi="Calibri" w:cs="Calibri"/>
          <w:color w:val="000000"/>
          <w:kern w:val="0"/>
        </w:rPr>
        <w:t>, water-resistant or micro-porous surface</w:t>
      </w:r>
    </w:p>
    <w:p w14:paraId="16422213" w14:textId="77B0EA19"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coatings on masonry should be avoided as they can inhibit the </w:t>
      </w:r>
      <w:r w:rsidR="00D46887">
        <w:rPr>
          <w:rFonts w:ascii="Calibri" w:hAnsi="Calibri" w:cs="Calibri"/>
          <w:color w:val="000000"/>
          <w:kern w:val="0"/>
        </w:rPr>
        <w:t xml:space="preserve">drying </w:t>
      </w:r>
      <w:proofErr w:type="gramStart"/>
      <w:r w:rsidR="00D46887">
        <w:rPr>
          <w:rFonts w:ascii="Calibri" w:hAnsi="Calibri" w:cs="Calibri"/>
          <w:color w:val="000000"/>
          <w:kern w:val="0"/>
        </w:rPr>
        <w:t>out</w:t>
      </w:r>
      <w:proofErr w:type="gramEnd"/>
    </w:p>
    <w:p w14:paraId="0221F00C"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of the building fabric.</w:t>
      </w:r>
    </w:p>
    <w:p w14:paraId="6B02B83A" w14:textId="244933E6" w:rsidR="00B1267F" w:rsidRDefault="00B1267F" w:rsidP="00B1267F">
      <w:pPr>
        <w:autoSpaceDE w:val="0"/>
        <w:autoSpaceDN w:val="0"/>
        <w:adjustRightInd w:val="0"/>
        <w:spacing w:after="0" w:line="240" w:lineRule="auto"/>
        <w:rPr>
          <w:rFonts w:ascii="Calibri" w:hAnsi="Calibri" w:cs="Calibri"/>
          <w:color w:val="000000"/>
          <w:kern w:val="0"/>
          <w:sz w:val="18"/>
          <w:szCs w:val="18"/>
        </w:rPr>
      </w:pPr>
    </w:p>
    <w:p w14:paraId="626267EE"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Services and fittings (communications wiring, hearing systems, electrical</w:t>
      </w:r>
    </w:p>
    <w:p w14:paraId="743A04BA"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services, water, electricity and gas meters) should be placed at </w:t>
      </w:r>
      <w:proofErr w:type="gramStart"/>
      <w:r>
        <w:rPr>
          <w:rFonts w:ascii="Calibri" w:hAnsi="Calibri" w:cs="Calibri"/>
          <w:color w:val="000000"/>
          <w:kern w:val="0"/>
        </w:rPr>
        <w:t>above</w:t>
      </w:r>
      <w:proofErr w:type="gramEnd"/>
    </w:p>
    <w:p w14:paraId="70D449A8"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the flood </w:t>
      </w:r>
      <w:proofErr w:type="gramStart"/>
      <w:r>
        <w:rPr>
          <w:rFonts w:ascii="Calibri" w:hAnsi="Calibri" w:cs="Calibri"/>
          <w:color w:val="000000"/>
          <w:kern w:val="0"/>
        </w:rPr>
        <w:t>level</w:t>
      </w:r>
      <w:proofErr w:type="gramEnd"/>
      <w:r>
        <w:rPr>
          <w:rFonts w:ascii="Calibri" w:hAnsi="Calibri" w:cs="Calibri"/>
          <w:color w:val="000000"/>
          <w:kern w:val="0"/>
        </w:rPr>
        <w:t>. Where possible, all service entries should be sealed (e.g.</w:t>
      </w:r>
    </w:p>
    <w:p w14:paraId="1B1A9610"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with expanding foam or similar closed cell material). Closed cell</w:t>
      </w:r>
    </w:p>
    <w:p w14:paraId="65FBAA2B"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lastRenderedPageBreak/>
        <w:t xml:space="preserve">insulation should be used for pipes which are below the predicted </w:t>
      </w:r>
      <w:proofErr w:type="gramStart"/>
      <w:r>
        <w:rPr>
          <w:rFonts w:ascii="Calibri" w:hAnsi="Calibri" w:cs="Calibri"/>
          <w:color w:val="000000"/>
          <w:kern w:val="0"/>
        </w:rPr>
        <w:t>flood</w:t>
      </w:r>
      <w:proofErr w:type="gramEnd"/>
    </w:p>
    <w:p w14:paraId="02BC22F8"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levels. Sealed PVC external framed doors should be used. Should</w:t>
      </w:r>
    </w:p>
    <w:p w14:paraId="0696346D" w14:textId="6568D56D"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wooden doors be used then a good fit and sealed to the frames must </w:t>
      </w:r>
      <w:proofErr w:type="gramStart"/>
      <w:r>
        <w:rPr>
          <w:rFonts w:ascii="Calibri" w:hAnsi="Calibri" w:cs="Calibri"/>
          <w:color w:val="000000"/>
          <w:kern w:val="0"/>
        </w:rPr>
        <w:t>be</w:t>
      </w:r>
      <w:proofErr w:type="gramEnd"/>
    </w:p>
    <w:p w14:paraId="4B65F325"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obtained. Hollow core timber internal doors should not be used unless</w:t>
      </w:r>
    </w:p>
    <w:p w14:paraId="212DB018"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sufficient flood warning is given, butt hinges, can be used to </w:t>
      </w:r>
      <w:proofErr w:type="gramStart"/>
      <w:r>
        <w:rPr>
          <w:rFonts w:ascii="Calibri" w:hAnsi="Calibri" w:cs="Calibri"/>
          <w:color w:val="000000"/>
          <w:kern w:val="0"/>
        </w:rPr>
        <w:t>allow</w:t>
      </w:r>
      <w:proofErr w:type="gramEnd"/>
    </w:p>
    <w:p w14:paraId="70C95538"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internal doors to be easily removed and stored.</w:t>
      </w:r>
    </w:p>
    <w:p w14:paraId="76D730A3" w14:textId="3FEE16EE" w:rsidR="00B1267F" w:rsidRDefault="00B1267F" w:rsidP="00B1267F">
      <w:pPr>
        <w:autoSpaceDE w:val="0"/>
        <w:autoSpaceDN w:val="0"/>
        <w:adjustRightInd w:val="0"/>
        <w:spacing w:after="0" w:line="240" w:lineRule="auto"/>
        <w:rPr>
          <w:rFonts w:ascii="PalatinoLinotype-Roman" w:hAnsi="PalatinoLinotype-Roman" w:cs="PalatinoLinotype-Roman"/>
          <w:color w:val="A7A7A7"/>
          <w:kern w:val="0"/>
          <w:sz w:val="20"/>
          <w:szCs w:val="20"/>
        </w:rPr>
      </w:pPr>
    </w:p>
    <w:p w14:paraId="3871E19D"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Fittings should be designed to be replaced after a flood, it is advisable to</w:t>
      </w:r>
    </w:p>
    <w:p w14:paraId="03E91C61" w14:textId="0BEF884F"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specify durable fittings that are not appreciably affected by water and</w:t>
      </w:r>
    </w:p>
    <w:p w14:paraId="20F26EA3" w14:textId="77777777"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can be easily cleaned (e.g. use of plastic materials or stainless steel). The</w:t>
      </w:r>
    </w:p>
    <w:p w14:paraId="0F8B1BF0" w14:textId="46FB4CE3" w:rsidR="00B1267F"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cost of these units may need to be balanced against the </w:t>
      </w:r>
      <w:proofErr w:type="gramStart"/>
      <w:r>
        <w:rPr>
          <w:rFonts w:ascii="Calibri" w:hAnsi="Calibri" w:cs="Calibri"/>
          <w:color w:val="000000"/>
          <w:kern w:val="0"/>
        </w:rPr>
        <w:t>predicted</w:t>
      </w:r>
      <w:proofErr w:type="gramEnd"/>
    </w:p>
    <w:p w14:paraId="0DA23CD9" w14:textId="77777777" w:rsidR="00D46887" w:rsidRDefault="00B1267F"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 xml:space="preserve">frequency of flooding. Avoid wood </w:t>
      </w:r>
      <w:proofErr w:type="gramStart"/>
      <w:r>
        <w:rPr>
          <w:rFonts w:ascii="Calibri" w:hAnsi="Calibri" w:cs="Calibri"/>
          <w:color w:val="000000"/>
          <w:kern w:val="0"/>
        </w:rPr>
        <w:t>fibre based</w:t>
      </w:r>
      <w:proofErr w:type="gramEnd"/>
      <w:r>
        <w:rPr>
          <w:rFonts w:ascii="Calibri" w:hAnsi="Calibri" w:cs="Calibri"/>
          <w:color w:val="000000"/>
          <w:kern w:val="0"/>
        </w:rPr>
        <w:t xml:space="preserve"> carcases and use easily</w:t>
      </w:r>
      <w:r w:rsidR="00D46887">
        <w:rPr>
          <w:rFonts w:ascii="Calibri" w:hAnsi="Calibri" w:cs="Calibri"/>
          <w:color w:val="000000"/>
          <w:kern w:val="0"/>
        </w:rPr>
        <w:t xml:space="preserve"> </w:t>
      </w:r>
    </w:p>
    <w:p w14:paraId="66BB8CEB" w14:textId="2D793CDB" w:rsidR="00B1267F" w:rsidRDefault="00D46887" w:rsidP="00B1267F">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removable solid wood drawers.</w:t>
      </w:r>
    </w:p>
    <w:p w14:paraId="4D2CB060" w14:textId="77777777" w:rsidR="00D46887" w:rsidRDefault="00D46887" w:rsidP="00B1267F">
      <w:pPr>
        <w:autoSpaceDE w:val="0"/>
        <w:autoSpaceDN w:val="0"/>
        <w:adjustRightInd w:val="0"/>
        <w:spacing w:after="0" w:line="240" w:lineRule="auto"/>
        <w:rPr>
          <w:rFonts w:ascii="Calibri" w:hAnsi="Calibri" w:cs="Calibri"/>
          <w:color w:val="000000"/>
          <w:kern w:val="0"/>
        </w:rPr>
      </w:pPr>
    </w:p>
    <w:p w14:paraId="64DE7B72" w14:textId="3DF70433" w:rsidR="00D46887" w:rsidRDefault="00D46887" w:rsidP="00B1267F">
      <w:pPr>
        <w:autoSpaceDE w:val="0"/>
        <w:autoSpaceDN w:val="0"/>
        <w:adjustRightInd w:val="0"/>
        <w:spacing w:after="0" w:line="240" w:lineRule="auto"/>
        <w:rPr>
          <w:rFonts w:ascii="Calibri" w:hAnsi="Calibri" w:cs="Calibri"/>
          <w:color w:val="000000"/>
          <w:kern w:val="0"/>
        </w:rPr>
      </w:pPr>
    </w:p>
    <w:p w14:paraId="027ED45D" w14:textId="283CBCFE" w:rsidR="00424CBE" w:rsidRDefault="00D46887">
      <w:r>
        <w:rPr>
          <w:noProof/>
        </w:rPr>
        <mc:AlternateContent>
          <mc:Choice Requires="wpi">
            <w:drawing>
              <wp:anchor distT="0" distB="0" distL="114300" distR="114300" simplePos="0" relativeHeight="251660288" behindDoc="0" locked="0" layoutInCell="1" allowOverlap="1" wp14:anchorId="4C808310" wp14:editId="6D270919">
                <wp:simplePos x="0" y="0"/>
                <wp:positionH relativeFrom="column">
                  <wp:posOffset>2999985</wp:posOffset>
                </wp:positionH>
                <wp:positionV relativeFrom="paragraph">
                  <wp:posOffset>1458475</wp:posOffset>
                </wp:positionV>
                <wp:extent cx="360" cy="1800"/>
                <wp:effectExtent l="38100" t="57150" r="57150" b="55880"/>
                <wp:wrapNone/>
                <wp:docPr id="2101935272" name="Ink 5"/>
                <wp:cNvGraphicFramePr/>
                <a:graphic xmlns:a="http://schemas.openxmlformats.org/drawingml/2006/main">
                  <a:graphicData uri="http://schemas.microsoft.com/office/word/2010/wordprocessingInk">
                    <w14:contentPart bwMode="auto" r:id="rId6">
                      <w14:nvContentPartPr>
                        <w14:cNvContentPartPr/>
                      </w14:nvContentPartPr>
                      <w14:xfrm>
                        <a:off x="0" y="0"/>
                        <a:ext cx="360" cy="1800"/>
                      </w14:xfrm>
                    </w14:contentPart>
                  </a:graphicData>
                </a:graphic>
              </wp:anchor>
            </w:drawing>
          </mc:Choice>
          <mc:Fallback>
            <w:pict>
              <v:shapetype w14:anchorId="19AA448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235.5pt;margin-top:114.15pt;width:1.45pt;height:1.6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">
                <v:imagedata r:id="rId7" o:title=""/>
              </v:shape>
            </w:pict>
          </mc:Fallback>
        </mc:AlternateContent>
      </w:r>
    </w:p>
    <w:p w14:paraId="7156E595" w14:textId="54C1BBC0" w:rsidR="00B1267F" w:rsidRDefault="00D46887">
      <w:r w:rsidRPr="00D46887">
        <w:drawing>
          <wp:inline distT="0" distB="0" distL="0" distR="0" wp14:anchorId="182E45E4" wp14:editId="6A27FAB6">
            <wp:extent cx="5249008" cy="3143689"/>
            <wp:effectExtent l="0" t="0" r="8890" b="0"/>
            <wp:docPr id="893329144" name="Picture 1" descr="A diagram of water quality contr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329144" name="Picture 1" descr="A diagram of water quality control&#10;&#10;Description automatically generated"/>
                    <pic:cNvPicPr/>
                  </pic:nvPicPr>
                  <pic:blipFill>
                    <a:blip r:embed="rId8"/>
                    <a:stretch>
                      <a:fillRect/>
                    </a:stretch>
                  </pic:blipFill>
                  <pic:spPr>
                    <a:xfrm>
                      <a:off x="0" y="0"/>
                      <a:ext cx="5249008" cy="3143689"/>
                    </a:xfrm>
                    <a:prstGeom prst="rect">
                      <a:avLst/>
                    </a:prstGeom>
                  </pic:spPr>
                </pic:pic>
              </a:graphicData>
            </a:graphic>
          </wp:inline>
        </w:drawing>
      </w:r>
    </w:p>
    <w:p w14:paraId="10124A6E" w14:textId="274C9CD4" w:rsidR="00D46887" w:rsidRDefault="00D46887">
      <w:r w:rsidRPr="00D46887">
        <w:drawing>
          <wp:anchor distT="0" distB="0" distL="114300" distR="114300" simplePos="0" relativeHeight="251661312" behindDoc="1" locked="0" layoutInCell="1" allowOverlap="1" wp14:anchorId="21A9777B" wp14:editId="27AC15FA">
            <wp:simplePos x="0" y="0"/>
            <wp:positionH relativeFrom="column">
              <wp:posOffset>276225</wp:posOffset>
            </wp:positionH>
            <wp:positionV relativeFrom="paragraph">
              <wp:posOffset>12065</wp:posOffset>
            </wp:positionV>
            <wp:extent cx="5344271" cy="2981741"/>
            <wp:effectExtent l="0" t="0" r="8890" b="9525"/>
            <wp:wrapNone/>
            <wp:docPr id="1391803720" name="Picture 1" descr="A screenshot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803720" name="Picture 1" descr="A screenshot of a tes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344271" cy="2981741"/>
                    </a:xfrm>
                    <a:prstGeom prst="rect">
                      <a:avLst/>
                    </a:prstGeom>
                  </pic:spPr>
                </pic:pic>
              </a:graphicData>
            </a:graphic>
          </wp:anchor>
        </w:drawing>
      </w:r>
    </w:p>
    <w:p w14:paraId="34A0A067" w14:textId="33006DDC" w:rsidR="00B1267F" w:rsidRDefault="00B1267F"/>
    <w:sectPr w:rsidR="00B126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Linotype-Roman">
    <w:altName w:val="Palatino Linotype"/>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CE2AD9"/>
    <w:multiLevelType w:val="multilevel"/>
    <w:tmpl w:val="28D60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4723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67F"/>
    <w:rsid w:val="00424CBE"/>
    <w:rsid w:val="007D52A2"/>
    <w:rsid w:val="00B1267F"/>
    <w:rsid w:val="00D31A8B"/>
    <w:rsid w:val="00D468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5154E3"/>
  <w15:chartTrackingRefBased/>
  <w15:docId w15:val="{F08E9CD5-541C-42E3-8122-9E35E2670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6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6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6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6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6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6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6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6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6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6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6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6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6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6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6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6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6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67F"/>
    <w:rPr>
      <w:rFonts w:eastAsiaTheme="majorEastAsia" w:cstheme="majorBidi"/>
      <w:color w:val="272727" w:themeColor="text1" w:themeTint="D8"/>
    </w:rPr>
  </w:style>
  <w:style w:type="paragraph" w:styleId="Title">
    <w:name w:val="Title"/>
    <w:basedOn w:val="Normal"/>
    <w:next w:val="Normal"/>
    <w:link w:val="TitleChar"/>
    <w:uiPriority w:val="10"/>
    <w:qFormat/>
    <w:rsid w:val="00B126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6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6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6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67F"/>
    <w:pPr>
      <w:spacing w:before="160"/>
      <w:jc w:val="center"/>
    </w:pPr>
    <w:rPr>
      <w:i/>
      <w:iCs/>
      <w:color w:val="404040" w:themeColor="text1" w:themeTint="BF"/>
    </w:rPr>
  </w:style>
  <w:style w:type="character" w:customStyle="1" w:styleId="QuoteChar">
    <w:name w:val="Quote Char"/>
    <w:basedOn w:val="DefaultParagraphFont"/>
    <w:link w:val="Quote"/>
    <w:uiPriority w:val="29"/>
    <w:rsid w:val="00B1267F"/>
    <w:rPr>
      <w:i/>
      <w:iCs/>
      <w:color w:val="404040" w:themeColor="text1" w:themeTint="BF"/>
    </w:rPr>
  </w:style>
  <w:style w:type="paragraph" w:styleId="ListParagraph">
    <w:name w:val="List Paragraph"/>
    <w:basedOn w:val="Normal"/>
    <w:uiPriority w:val="34"/>
    <w:qFormat/>
    <w:rsid w:val="00B1267F"/>
    <w:pPr>
      <w:ind w:left="720"/>
      <w:contextualSpacing/>
    </w:pPr>
  </w:style>
  <w:style w:type="character" w:styleId="IntenseEmphasis">
    <w:name w:val="Intense Emphasis"/>
    <w:basedOn w:val="DefaultParagraphFont"/>
    <w:uiPriority w:val="21"/>
    <w:qFormat/>
    <w:rsid w:val="00B1267F"/>
    <w:rPr>
      <w:i/>
      <w:iCs/>
      <w:color w:val="0F4761" w:themeColor="accent1" w:themeShade="BF"/>
    </w:rPr>
  </w:style>
  <w:style w:type="paragraph" w:styleId="IntenseQuote">
    <w:name w:val="Intense Quote"/>
    <w:basedOn w:val="Normal"/>
    <w:next w:val="Normal"/>
    <w:link w:val="IntenseQuoteChar"/>
    <w:uiPriority w:val="30"/>
    <w:qFormat/>
    <w:rsid w:val="00B126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67F"/>
    <w:rPr>
      <w:i/>
      <w:iCs/>
      <w:color w:val="0F4761" w:themeColor="accent1" w:themeShade="BF"/>
    </w:rPr>
  </w:style>
  <w:style w:type="character" w:styleId="IntenseReference">
    <w:name w:val="Intense Reference"/>
    <w:basedOn w:val="DefaultParagraphFont"/>
    <w:uiPriority w:val="32"/>
    <w:qFormat/>
    <w:rsid w:val="00B1267F"/>
    <w:rPr>
      <w:b/>
      <w:bCs/>
      <w:smallCaps/>
      <w:color w:val="0F4761" w:themeColor="accent1" w:themeShade="BF"/>
      <w:spacing w:val="5"/>
    </w:rPr>
  </w:style>
  <w:style w:type="paragraph" w:styleId="NormalWeb">
    <w:name w:val="Normal (Web)"/>
    <w:basedOn w:val="Normal"/>
    <w:uiPriority w:val="99"/>
    <w:semiHidden/>
    <w:unhideWhenUsed/>
    <w:rsid w:val="00B1267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B1267F"/>
    <w:rPr>
      <w:b/>
      <w:bCs/>
    </w:rPr>
  </w:style>
  <w:style w:type="paragraph" w:styleId="NoSpacing">
    <w:name w:val="No Spacing"/>
    <w:uiPriority w:val="1"/>
    <w:qFormat/>
    <w:rsid w:val="00B126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74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ustomXml" Target="ink/ink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5-30T14:19:34.454"/>
    </inkml:context>
    <inkml:brush xml:id="br0">
      <inkml:brushProperty name="width" value="0.05" units="cm"/>
      <inkml:brushProperty name="height" value="0.05" units="cm"/>
      <inkml:brushProperty name="color" value="#E71224"/>
    </inkml:brush>
  </inkml:definitions>
  <inkml:trace contextRef="#ctx0" brushRef="#br0">1 5 24575,'0'-4'0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Lindsay</dc:creator>
  <cp:keywords/>
  <dc:description/>
  <cp:lastModifiedBy>Derek Lindsay</cp:lastModifiedBy>
  <cp:revision>1</cp:revision>
  <dcterms:created xsi:type="dcterms:W3CDTF">2024-05-30T14:06:00Z</dcterms:created>
  <dcterms:modified xsi:type="dcterms:W3CDTF">2024-05-30T14:21:00Z</dcterms:modified>
</cp:coreProperties>
</file>