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C71EB" w14:textId="77777777" w:rsidR="00D376DF" w:rsidRPr="00493D1E" w:rsidRDefault="00D376DF" w:rsidP="00D376DF">
      <w:pPr>
        <w:jc w:val="center"/>
        <w:rPr>
          <w:rFonts w:ascii="Calibri" w:hAnsi="Calibri" w:cs="Calibri"/>
          <w:b/>
          <w:sz w:val="22"/>
          <w:szCs w:val="22"/>
        </w:rPr>
      </w:pPr>
      <w:r w:rsidRPr="00493D1E">
        <w:rPr>
          <w:rFonts w:ascii="Calibri" w:hAnsi="Calibri" w:cs="Calibri"/>
          <w:b/>
          <w:sz w:val="22"/>
          <w:szCs w:val="22"/>
        </w:rPr>
        <w:t xml:space="preserve">Havant Borough Council </w:t>
      </w:r>
    </w:p>
    <w:p w14:paraId="21857C14" w14:textId="7A9BE887" w:rsidR="00D376DF" w:rsidRPr="00493D1E" w:rsidRDefault="002A25D7" w:rsidP="00D376DF">
      <w:pPr>
        <w:jc w:val="center"/>
        <w:rPr>
          <w:rFonts w:ascii="Calibri" w:hAnsi="Calibri" w:cs="Calibri"/>
          <w:b/>
          <w:sz w:val="22"/>
          <w:szCs w:val="22"/>
        </w:rPr>
      </w:pPr>
      <w:r w:rsidRPr="00493D1E">
        <w:rPr>
          <w:rFonts w:ascii="Calibri" w:hAnsi="Calibri" w:cs="Calibri"/>
          <w:b/>
          <w:noProof/>
          <w:sz w:val="22"/>
          <w:szCs w:val="22"/>
        </w:rPr>
        <mc:AlternateContent>
          <mc:Choice Requires="wps">
            <w:drawing>
              <wp:anchor distT="45720" distB="45720" distL="114300" distR="114300" simplePos="0" relativeHeight="251661312" behindDoc="0" locked="0" layoutInCell="1" allowOverlap="1" wp14:anchorId="6CBFD64C" wp14:editId="08611AFC">
                <wp:simplePos x="0" y="0"/>
                <wp:positionH relativeFrom="column">
                  <wp:posOffset>7620</wp:posOffset>
                </wp:positionH>
                <wp:positionV relativeFrom="paragraph">
                  <wp:posOffset>401955</wp:posOffset>
                </wp:positionV>
                <wp:extent cx="5775960" cy="1844040"/>
                <wp:effectExtent l="0" t="0" r="1524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1844040"/>
                        </a:xfrm>
                        <a:prstGeom prst="rect">
                          <a:avLst/>
                        </a:prstGeom>
                        <a:solidFill>
                          <a:schemeClr val="accent1">
                            <a:lumMod val="20000"/>
                            <a:lumOff val="80000"/>
                          </a:schemeClr>
                        </a:solidFill>
                        <a:ln w="9525">
                          <a:solidFill>
                            <a:srgbClr val="000000"/>
                          </a:solidFill>
                          <a:miter lim="800000"/>
                          <a:headEnd/>
                          <a:tailEnd/>
                        </a:ln>
                      </wps:spPr>
                      <wps:txbx>
                        <w:txbxContent>
                          <w:p w14:paraId="7546DDFA" w14:textId="0DAA036A"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882964">
                              <w:rPr>
                                <w:rFonts w:ascii="Calibri" w:hAnsi="Calibri" w:cs="Calibri"/>
                                <w:b/>
                                <w:sz w:val="22"/>
                                <w:szCs w:val="22"/>
                              </w:rPr>
                              <w:t>4</w:t>
                            </w:r>
                            <w:r w:rsidRPr="00493D1E">
                              <w:rPr>
                                <w:rFonts w:ascii="Calibri" w:hAnsi="Calibri" w:cs="Calibri"/>
                                <w:b/>
                                <w:sz w:val="22"/>
                                <w:szCs w:val="22"/>
                              </w:rPr>
                              <w:t>/</w:t>
                            </w:r>
                            <w:r w:rsidR="00882964">
                              <w:rPr>
                                <w:rFonts w:ascii="Calibri" w:hAnsi="Calibri" w:cs="Calibri"/>
                                <w:b/>
                                <w:sz w:val="22"/>
                                <w:szCs w:val="22"/>
                              </w:rPr>
                              <w:t>10</w:t>
                            </w:r>
                            <w:r w:rsidRPr="00493D1E">
                              <w:rPr>
                                <w:rFonts w:ascii="Calibri" w:hAnsi="Calibri" w:cs="Calibri"/>
                                <w:b/>
                                <w:sz w:val="22"/>
                                <w:szCs w:val="22"/>
                              </w:rPr>
                              <w:t>/2024</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5C108CFA"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APP/24/00</w:t>
                            </w:r>
                            <w:r w:rsidR="00882964">
                              <w:rPr>
                                <w:rFonts w:ascii="Calibri" w:hAnsi="Calibri" w:cs="Calibri"/>
                                <w:b/>
                                <w:sz w:val="22"/>
                                <w:szCs w:val="22"/>
                              </w:rPr>
                              <w:t>612</w:t>
                            </w:r>
                          </w:p>
                          <w:p w14:paraId="458D1D24" w14:textId="4F25E8D1" w:rsidR="002A25D7" w:rsidRDefault="002A25D7" w:rsidP="002A25D7">
                            <w:pPr>
                              <w:jc w:val="both"/>
                              <w:rPr>
                                <w:rFonts w:ascii="Calibri" w:hAnsi="Calibri" w:cs="Calibri"/>
                                <w:b/>
                                <w:sz w:val="22"/>
                                <w:szCs w:val="22"/>
                              </w:rPr>
                            </w:pPr>
                            <w:r w:rsidRPr="00493D1E">
                              <w:rPr>
                                <w:rFonts w:ascii="Calibri" w:hAnsi="Calibri" w:cs="Calibri"/>
                                <w:b/>
                                <w:sz w:val="22"/>
                                <w:szCs w:val="22"/>
                              </w:rPr>
                              <w:t xml:space="preserve">Site Address – </w:t>
                            </w:r>
                            <w:r w:rsidR="00F71C70">
                              <w:rPr>
                                <w:rFonts w:ascii="Calibri" w:hAnsi="Calibri" w:cs="Calibri"/>
                                <w:b/>
                                <w:sz w:val="22"/>
                                <w:szCs w:val="22"/>
                              </w:rPr>
                              <w:t>L</w:t>
                            </w:r>
                            <w:r w:rsidR="00882964">
                              <w:rPr>
                                <w:rFonts w:ascii="Calibri" w:hAnsi="Calibri" w:cs="Calibri"/>
                                <w:b/>
                                <w:sz w:val="22"/>
                                <w:szCs w:val="22"/>
                              </w:rPr>
                              <w:t xml:space="preserve">and south of Lower Road and west of Old Manor Farm, Havant </w:t>
                            </w:r>
                            <w:r w:rsidRPr="00493D1E">
                              <w:rPr>
                                <w:rFonts w:ascii="Calibri" w:hAnsi="Calibri" w:cs="Calibri"/>
                                <w:b/>
                                <w:sz w:val="22"/>
                                <w:szCs w:val="22"/>
                              </w:rPr>
                              <w:t xml:space="preserve"> </w:t>
                            </w:r>
                          </w:p>
                          <w:p w14:paraId="47E7BF0D" w14:textId="77777777" w:rsidR="00882964" w:rsidRDefault="00970669" w:rsidP="00882964">
                            <w:pPr>
                              <w:pStyle w:val="Normal0"/>
                              <w:rPr>
                                <w:sz w:val="22"/>
                                <w:szCs w:val="22"/>
                              </w:rPr>
                            </w:pPr>
                            <w:r>
                              <w:rPr>
                                <w:rFonts w:ascii="Calibri" w:hAnsi="Calibri" w:cs="Calibri"/>
                                <w:b/>
                                <w:sz w:val="22"/>
                                <w:szCs w:val="22"/>
                              </w:rPr>
                              <w:t xml:space="preserve">Proposal - </w:t>
                            </w:r>
                            <w:r w:rsidR="00882964" w:rsidRPr="00882964">
                              <w:rPr>
                                <w:rFonts w:ascii="Calibri" w:hAnsi="Calibri" w:cs="Calibri"/>
                                <w:b/>
                                <w:bCs/>
                                <w:sz w:val="22"/>
                                <w:szCs w:val="22"/>
                              </w:rPr>
                              <w:t>Approval of reserved matters comprising layout, landscape, scale and appearance, pursuant to outline planning permission APP/21/01071 for the development of 43 dwellings along with public open space and associated infrastructure works.</w:t>
                            </w:r>
                          </w:p>
                          <w:p w14:paraId="6137D28E" w14:textId="20992EAA"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BFD64C" id="_x0000_t202" coordsize="21600,21600" o:spt="202" path="m,l,21600r21600,l21600,xe">
                <v:stroke joinstyle="miter"/>
                <v:path gradientshapeok="t" o:connecttype="rect"/>
              </v:shapetype>
              <v:shape id="Text Box 2" o:spid="_x0000_s1026" type="#_x0000_t202" style="position:absolute;left:0;text-align:left;margin-left:.6pt;margin-top:31.65pt;width:454.8pt;height:145.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" fillcolor="#c1e4f5 [660]">
                <v:textbox>
                  <w:txbxContent>
                    <w:p w14:paraId="7546DDFA" w14:textId="0DAA036A"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882964">
                        <w:rPr>
                          <w:rFonts w:ascii="Calibri" w:hAnsi="Calibri" w:cs="Calibri"/>
                          <w:b/>
                          <w:sz w:val="22"/>
                          <w:szCs w:val="22"/>
                        </w:rPr>
                        <w:t>4</w:t>
                      </w:r>
                      <w:r w:rsidRPr="00493D1E">
                        <w:rPr>
                          <w:rFonts w:ascii="Calibri" w:hAnsi="Calibri" w:cs="Calibri"/>
                          <w:b/>
                          <w:sz w:val="22"/>
                          <w:szCs w:val="22"/>
                        </w:rPr>
                        <w:t>/</w:t>
                      </w:r>
                      <w:r w:rsidR="00882964">
                        <w:rPr>
                          <w:rFonts w:ascii="Calibri" w:hAnsi="Calibri" w:cs="Calibri"/>
                          <w:b/>
                          <w:sz w:val="22"/>
                          <w:szCs w:val="22"/>
                        </w:rPr>
                        <w:t>10</w:t>
                      </w:r>
                      <w:r w:rsidRPr="00493D1E">
                        <w:rPr>
                          <w:rFonts w:ascii="Calibri" w:hAnsi="Calibri" w:cs="Calibri"/>
                          <w:b/>
                          <w:sz w:val="22"/>
                          <w:szCs w:val="22"/>
                        </w:rPr>
                        <w:t>/2024</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5C108CFA"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APP/24/00</w:t>
                      </w:r>
                      <w:r w:rsidR="00882964">
                        <w:rPr>
                          <w:rFonts w:ascii="Calibri" w:hAnsi="Calibri" w:cs="Calibri"/>
                          <w:b/>
                          <w:sz w:val="22"/>
                          <w:szCs w:val="22"/>
                        </w:rPr>
                        <w:t>612</w:t>
                      </w:r>
                    </w:p>
                    <w:p w14:paraId="458D1D24" w14:textId="4F25E8D1" w:rsidR="002A25D7" w:rsidRDefault="002A25D7" w:rsidP="002A25D7">
                      <w:pPr>
                        <w:jc w:val="both"/>
                        <w:rPr>
                          <w:rFonts w:ascii="Calibri" w:hAnsi="Calibri" w:cs="Calibri"/>
                          <w:b/>
                          <w:sz w:val="22"/>
                          <w:szCs w:val="22"/>
                        </w:rPr>
                      </w:pPr>
                      <w:r w:rsidRPr="00493D1E">
                        <w:rPr>
                          <w:rFonts w:ascii="Calibri" w:hAnsi="Calibri" w:cs="Calibri"/>
                          <w:b/>
                          <w:sz w:val="22"/>
                          <w:szCs w:val="22"/>
                        </w:rPr>
                        <w:t xml:space="preserve">Site Address – </w:t>
                      </w:r>
                      <w:r w:rsidR="00F71C70">
                        <w:rPr>
                          <w:rFonts w:ascii="Calibri" w:hAnsi="Calibri" w:cs="Calibri"/>
                          <w:b/>
                          <w:sz w:val="22"/>
                          <w:szCs w:val="22"/>
                        </w:rPr>
                        <w:t>L</w:t>
                      </w:r>
                      <w:r w:rsidR="00882964">
                        <w:rPr>
                          <w:rFonts w:ascii="Calibri" w:hAnsi="Calibri" w:cs="Calibri"/>
                          <w:b/>
                          <w:sz w:val="22"/>
                          <w:szCs w:val="22"/>
                        </w:rPr>
                        <w:t xml:space="preserve">and south of Lower Road and west of Old Manor Farm, Havant </w:t>
                      </w:r>
                      <w:r w:rsidRPr="00493D1E">
                        <w:rPr>
                          <w:rFonts w:ascii="Calibri" w:hAnsi="Calibri" w:cs="Calibri"/>
                          <w:b/>
                          <w:sz w:val="22"/>
                          <w:szCs w:val="22"/>
                        </w:rPr>
                        <w:t xml:space="preserve"> </w:t>
                      </w:r>
                    </w:p>
                    <w:p w14:paraId="47E7BF0D" w14:textId="77777777" w:rsidR="00882964" w:rsidRDefault="00970669" w:rsidP="00882964">
                      <w:pPr>
                        <w:pStyle w:val="Normal0"/>
                        <w:rPr>
                          <w:sz w:val="22"/>
                          <w:szCs w:val="22"/>
                        </w:rPr>
                      </w:pPr>
                      <w:r>
                        <w:rPr>
                          <w:rFonts w:ascii="Calibri" w:hAnsi="Calibri" w:cs="Calibri"/>
                          <w:b/>
                          <w:sz w:val="22"/>
                          <w:szCs w:val="22"/>
                        </w:rPr>
                        <w:t xml:space="preserve">Proposal - </w:t>
                      </w:r>
                      <w:r w:rsidR="00882964" w:rsidRPr="00882964">
                        <w:rPr>
                          <w:rFonts w:ascii="Calibri" w:hAnsi="Calibri" w:cs="Calibri"/>
                          <w:b/>
                          <w:bCs/>
                          <w:sz w:val="22"/>
                          <w:szCs w:val="22"/>
                        </w:rPr>
                        <w:t>Approval of reserved matters comprising layout, landscape, scale and appearance, pursuant to outline planning permission APP/21/01071 for the development of 43 dwellings along with public open space and associated infrastructure works.</w:t>
                      </w:r>
                    </w:p>
                    <w:p w14:paraId="6137D28E" w14:textId="20992EAA"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v:textbox>
                <w10:wrap type="square"/>
              </v:shape>
            </w:pict>
          </mc:Fallback>
        </mc:AlternateContent>
      </w:r>
      <w:r w:rsidR="00CD18F5" w:rsidRPr="00493D1E">
        <w:rPr>
          <w:rFonts w:ascii="Calibri" w:hAnsi="Calibri" w:cs="Calibri"/>
          <w:b/>
          <w:sz w:val="22"/>
          <w:szCs w:val="22"/>
        </w:rPr>
        <w:t>Heritage Consultation Response</w:t>
      </w:r>
    </w:p>
    <w:p w14:paraId="21CD9AE7" w14:textId="4A346D5E" w:rsidR="00B12D34" w:rsidRPr="00493D1E" w:rsidRDefault="00B12D34">
      <w:pPr>
        <w:rPr>
          <w:rFonts w:ascii="Calibri" w:hAnsi="Calibri" w:cs="Calibri"/>
          <w:b/>
          <w:bCs/>
          <w:sz w:val="22"/>
          <w:szCs w:val="22"/>
        </w:rPr>
      </w:pPr>
      <w:r w:rsidRPr="00493D1E">
        <w:rPr>
          <w:rFonts w:ascii="Calibri" w:hAnsi="Calibri" w:cs="Calibri"/>
          <w:b/>
          <w:bCs/>
          <w:sz w:val="22"/>
          <w:szCs w:val="22"/>
          <w:highlight w:val="lightGray"/>
        </w:rPr>
        <w:t>Site / Location</w:t>
      </w:r>
      <w:r w:rsidRPr="00493D1E">
        <w:rPr>
          <w:rFonts w:ascii="Calibri" w:hAnsi="Calibri" w:cs="Calibri"/>
          <w:b/>
          <w:bCs/>
          <w:sz w:val="22"/>
          <w:szCs w:val="22"/>
        </w:rPr>
        <w:t xml:space="preserve"> </w:t>
      </w:r>
    </w:p>
    <w:p w14:paraId="19E33D6E" w14:textId="77777777" w:rsidR="00E2306E" w:rsidRPr="00F71C70" w:rsidRDefault="00B12D34" w:rsidP="00E2306E">
      <w:pPr>
        <w:jc w:val="both"/>
        <w:rPr>
          <w:rFonts w:ascii="Calibri" w:hAnsi="Calibri" w:cs="Calibri"/>
          <w:sz w:val="22"/>
          <w:szCs w:val="22"/>
        </w:rPr>
      </w:pPr>
      <w:r w:rsidRPr="00F71C70">
        <w:rPr>
          <w:rFonts w:ascii="Calibri" w:hAnsi="Calibri" w:cs="Calibri"/>
          <w:sz w:val="22"/>
          <w:szCs w:val="22"/>
        </w:rPr>
        <w:t xml:space="preserve">The application site </w:t>
      </w:r>
      <w:r w:rsidR="00E2306E" w:rsidRPr="00F71C70">
        <w:rPr>
          <w:rFonts w:ascii="Calibri" w:hAnsi="Calibri" w:cs="Calibri"/>
          <w:sz w:val="22"/>
          <w:szCs w:val="22"/>
        </w:rPr>
        <w:t xml:space="preserve">comprises the western part of a parcel of land located south of Lower Road, in Bedhampton. It is bounded at the south by the railway line and the A27 and the junction of the A3 to the west and Lower Road to the north. Immediately to the north of the site and on the south side of Lower Road, is a small industrial complex including a large shed and external storage areas. </w:t>
      </w:r>
    </w:p>
    <w:p w14:paraId="69E0A645" w14:textId="151A16DC" w:rsidR="00BD4837" w:rsidRPr="00F71C70" w:rsidRDefault="00E2306E" w:rsidP="00E2306E">
      <w:pPr>
        <w:jc w:val="both"/>
        <w:rPr>
          <w:rFonts w:ascii="Calibri" w:hAnsi="Calibri" w:cs="Calibri"/>
          <w:sz w:val="22"/>
          <w:szCs w:val="22"/>
        </w:rPr>
      </w:pPr>
      <w:r w:rsidRPr="00F71C70">
        <w:rPr>
          <w:rFonts w:ascii="Calibri" w:hAnsi="Calibri" w:cs="Calibri"/>
          <w:sz w:val="22"/>
          <w:szCs w:val="22"/>
        </w:rPr>
        <w:t xml:space="preserve">The Manor Farm complex is located to the northeast of the application site. This is included within part of the Old Bedhampton Conservation Area, known as Character Area 5. The other character areas of the conservation area are located north and east of Lower Road. </w:t>
      </w:r>
      <w:r w:rsidR="004F6B39" w:rsidRPr="00F71C70">
        <w:rPr>
          <w:rFonts w:ascii="Calibri" w:hAnsi="Calibri" w:cs="Calibri"/>
          <w:sz w:val="22"/>
          <w:szCs w:val="22"/>
        </w:rPr>
        <w:t xml:space="preserve">The Old Bedhampton Conservation Area is a designated heritage asset. </w:t>
      </w:r>
      <w:r w:rsidRPr="00F71C70">
        <w:rPr>
          <w:rFonts w:ascii="Calibri" w:hAnsi="Calibri" w:cs="Calibri"/>
          <w:sz w:val="22"/>
          <w:szCs w:val="22"/>
        </w:rPr>
        <w:t>The significance of Character Area 5 comprise</w:t>
      </w:r>
      <w:r w:rsidR="0055452E" w:rsidRPr="00F71C70">
        <w:rPr>
          <w:rFonts w:ascii="Calibri" w:hAnsi="Calibri" w:cs="Calibri"/>
          <w:sz w:val="22"/>
          <w:szCs w:val="22"/>
        </w:rPr>
        <w:t>s historic c</w:t>
      </w:r>
      <w:r w:rsidR="00BD4837" w:rsidRPr="00F71C70">
        <w:rPr>
          <w:rFonts w:ascii="Calibri" w:hAnsi="Calibri" w:cs="Calibri"/>
          <w:sz w:val="22"/>
          <w:szCs w:val="22"/>
        </w:rPr>
        <w:t xml:space="preserve">ottages and former agricultural buildings, now converted to dwellings, set slightly apart from the historic village core and thus rooted in the </w:t>
      </w:r>
      <w:r w:rsidR="0055452E" w:rsidRPr="00F71C70">
        <w:rPr>
          <w:rFonts w:ascii="Calibri" w:hAnsi="Calibri" w:cs="Calibri"/>
          <w:sz w:val="22"/>
          <w:szCs w:val="22"/>
        </w:rPr>
        <w:t xml:space="preserve">historical </w:t>
      </w:r>
      <w:r w:rsidR="00BD4837" w:rsidRPr="00F71C70">
        <w:rPr>
          <w:rFonts w:ascii="Calibri" w:hAnsi="Calibri" w:cs="Calibri"/>
          <w:sz w:val="22"/>
          <w:szCs w:val="22"/>
        </w:rPr>
        <w:t>agricultural landscape.</w:t>
      </w:r>
    </w:p>
    <w:p w14:paraId="4720BA9C" w14:textId="75FF557E" w:rsidR="00E2306E" w:rsidRPr="00F71C70" w:rsidRDefault="00E2306E" w:rsidP="00E2306E">
      <w:pPr>
        <w:jc w:val="both"/>
        <w:rPr>
          <w:rFonts w:ascii="Calibri" w:hAnsi="Calibri" w:cs="Calibri"/>
          <w:sz w:val="22"/>
          <w:szCs w:val="22"/>
        </w:rPr>
      </w:pPr>
      <w:r w:rsidRPr="00F71C70">
        <w:rPr>
          <w:rFonts w:ascii="Calibri" w:hAnsi="Calibri" w:cs="Calibri"/>
          <w:sz w:val="22"/>
          <w:szCs w:val="22"/>
        </w:rPr>
        <w:t>To the immediate east of the application site</w:t>
      </w:r>
      <w:r w:rsidR="0055452E" w:rsidRPr="00F71C70">
        <w:rPr>
          <w:rFonts w:ascii="Calibri" w:hAnsi="Calibri" w:cs="Calibri"/>
          <w:sz w:val="22"/>
          <w:szCs w:val="22"/>
        </w:rPr>
        <w:t xml:space="preserve"> a</w:t>
      </w:r>
      <w:r w:rsidRPr="00F71C70">
        <w:rPr>
          <w:rFonts w:ascii="Calibri" w:hAnsi="Calibri" w:cs="Calibri"/>
          <w:sz w:val="22"/>
          <w:szCs w:val="22"/>
        </w:rPr>
        <w:t xml:space="preserve"> new residential development of 50no. dwellings, known as Lower Road Phase 1, has been implemented. For the </w:t>
      </w:r>
      <w:r w:rsidR="0055452E" w:rsidRPr="00F71C70">
        <w:rPr>
          <w:rFonts w:ascii="Calibri" w:hAnsi="Calibri" w:cs="Calibri"/>
          <w:sz w:val="22"/>
          <w:szCs w:val="22"/>
        </w:rPr>
        <w:t xml:space="preserve">development </w:t>
      </w:r>
      <w:r w:rsidRPr="00F71C70">
        <w:rPr>
          <w:rFonts w:ascii="Calibri" w:hAnsi="Calibri" w:cs="Calibri"/>
          <w:sz w:val="22"/>
          <w:szCs w:val="22"/>
        </w:rPr>
        <w:t>site subject to this application, outline</w:t>
      </w:r>
      <w:r w:rsidR="0055452E" w:rsidRPr="00F71C70">
        <w:rPr>
          <w:rFonts w:ascii="Calibri" w:hAnsi="Calibri" w:cs="Calibri"/>
          <w:sz w:val="22"/>
          <w:szCs w:val="22"/>
        </w:rPr>
        <w:t xml:space="preserve"> permission</w:t>
      </w:r>
      <w:r w:rsidRPr="00F71C70">
        <w:rPr>
          <w:rFonts w:ascii="Calibri" w:hAnsi="Calibri" w:cs="Calibri"/>
          <w:sz w:val="22"/>
          <w:szCs w:val="22"/>
        </w:rPr>
        <w:t xml:space="preserve"> for 43no. dwellings, along with public open space and associate infrastructure works</w:t>
      </w:r>
      <w:r w:rsidR="0055452E" w:rsidRPr="00F71C70">
        <w:rPr>
          <w:rFonts w:ascii="Calibri" w:hAnsi="Calibri" w:cs="Calibri"/>
          <w:sz w:val="22"/>
          <w:szCs w:val="22"/>
        </w:rPr>
        <w:t>,</w:t>
      </w:r>
      <w:r w:rsidRPr="00F71C70">
        <w:rPr>
          <w:rFonts w:ascii="Calibri" w:hAnsi="Calibri" w:cs="Calibri"/>
          <w:sz w:val="22"/>
          <w:szCs w:val="22"/>
        </w:rPr>
        <w:t xml:space="preserve"> has been approved </w:t>
      </w:r>
      <w:r w:rsidR="0055452E" w:rsidRPr="00F71C70">
        <w:rPr>
          <w:rFonts w:ascii="Calibri" w:hAnsi="Calibri" w:cs="Calibri"/>
          <w:sz w:val="22"/>
          <w:szCs w:val="22"/>
        </w:rPr>
        <w:t xml:space="preserve">via </w:t>
      </w:r>
      <w:r w:rsidRPr="00F71C70">
        <w:rPr>
          <w:rFonts w:ascii="Calibri" w:hAnsi="Calibri" w:cs="Calibri"/>
          <w:sz w:val="22"/>
          <w:szCs w:val="22"/>
        </w:rPr>
        <w:t xml:space="preserve">a planning appeal. </w:t>
      </w:r>
    </w:p>
    <w:p w14:paraId="6F8BE53F" w14:textId="65B406A5" w:rsidR="00B12D34" w:rsidRPr="00493D1E"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Legislation</w:t>
      </w:r>
      <w:r w:rsidRPr="00493D1E">
        <w:rPr>
          <w:rFonts w:ascii="Calibri" w:hAnsi="Calibri" w:cs="Calibri"/>
          <w:b/>
          <w:bCs/>
          <w:sz w:val="22"/>
          <w:szCs w:val="22"/>
        </w:rPr>
        <w:t xml:space="preserve"> </w:t>
      </w:r>
    </w:p>
    <w:p w14:paraId="00FB9ADB" w14:textId="77777777"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When assessing the proposal, the following legislation and policy context is taken in consideration. </w:t>
      </w:r>
    </w:p>
    <w:p w14:paraId="504502B0" w14:textId="70714764" w:rsidR="002A25D7" w:rsidRPr="00493D1E" w:rsidRDefault="002A25D7" w:rsidP="002A25D7">
      <w:pPr>
        <w:jc w:val="both"/>
        <w:rPr>
          <w:rFonts w:ascii="Calibri" w:hAnsi="Calibri" w:cs="Calibri"/>
          <w:b/>
          <w:bCs/>
          <w:sz w:val="22"/>
          <w:szCs w:val="22"/>
          <w:u w:val="single"/>
        </w:rPr>
      </w:pPr>
      <w:r w:rsidRPr="00493D1E">
        <w:rPr>
          <w:rFonts w:ascii="Calibri" w:hAnsi="Calibri" w:cs="Calibri"/>
          <w:b/>
          <w:bCs/>
          <w:sz w:val="22"/>
          <w:szCs w:val="22"/>
          <w:u w:val="single"/>
        </w:rPr>
        <w:t>Listed Building and Conservation Areas) Act 1990</w:t>
      </w:r>
    </w:p>
    <w:p w14:paraId="4F708100" w14:textId="77777777" w:rsidR="002A25D7" w:rsidRDefault="002A25D7" w:rsidP="002A25D7">
      <w:pPr>
        <w:jc w:val="both"/>
        <w:rPr>
          <w:rFonts w:ascii="Calibri" w:hAnsi="Calibri" w:cs="Calibri"/>
          <w:sz w:val="22"/>
          <w:szCs w:val="22"/>
        </w:rPr>
      </w:pPr>
      <w:r w:rsidRPr="00493D1E">
        <w:rPr>
          <w:rFonts w:ascii="Calibri" w:hAnsi="Calibri" w:cs="Calibri"/>
          <w:sz w:val="22"/>
          <w:szCs w:val="22"/>
        </w:rPr>
        <w:t xml:space="preserve">Section 72 of the Planning (Listed Buildings and Conservation Areas) Act 1990 requires planning authorities, when considering whether to grant planning permission for development which affects </w:t>
      </w:r>
      <w:r w:rsidRPr="00493D1E">
        <w:rPr>
          <w:rFonts w:ascii="Calibri" w:hAnsi="Calibri" w:cs="Calibri"/>
          <w:b/>
          <w:bCs/>
          <w:sz w:val="22"/>
          <w:szCs w:val="22"/>
        </w:rPr>
        <w:t>a Conservation Area,</w:t>
      </w:r>
      <w:r w:rsidRPr="00493D1E">
        <w:rPr>
          <w:rFonts w:ascii="Calibri" w:hAnsi="Calibri" w:cs="Calibri"/>
          <w:sz w:val="22"/>
          <w:szCs w:val="22"/>
        </w:rPr>
        <w:t xml:space="preserve"> to have special regard to the desirability of preserving or enhancing the character and appearance of that area.</w:t>
      </w:r>
    </w:p>
    <w:p w14:paraId="42DDC8C6" w14:textId="77777777" w:rsidR="0055452E" w:rsidRPr="00493D1E" w:rsidRDefault="0055452E" w:rsidP="002A25D7">
      <w:pPr>
        <w:jc w:val="both"/>
        <w:rPr>
          <w:rFonts w:ascii="Calibri" w:hAnsi="Calibri" w:cs="Calibri"/>
          <w:sz w:val="22"/>
          <w:szCs w:val="22"/>
        </w:rPr>
      </w:pPr>
    </w:p>
    <w:p w14:paraId="17DD080F" w14:textId="2C858203" w:rsidR="002A25D7" w:rsidRPr="00493D1E" w:rsidRDefault="002A25D7" w:rsidP="002A25D7">
      <w:pPr>
        <w:jc w:val="both"/>
        <w:rPr>
          <w:rFonts w:ascii="Calibri" w:hAnsi="Calibri" w:cs="Calibri"/>
          <w:b/>
          <w:bCs/>
          <w:sz w:val="22"/>
          <w:szCs w:val="22"/>
          <w:u w:val="single"/>
        </w:rPr>
      </w:pPr>
      <w:r w:rsidRPr="00493D1E">
        <w:rPr>
          <w:rFonts w:ascii="Calibri" w:hAnsi="Calibri" w:cs="Calibri"/>
          <w:b/>
          <w:bCs/>
          <w:sz w:val="22"/>
          <w:szCs w:val="22"/>
          <w:u w:val="single"/>
        </w:rPr>
        <w:t xml:space="preserve">National Planning Policy Framework </w:t>
      </w:r>
      <w:r w:rsidR="00B374C1" w:rsidRPr="00493D1E">
        <w:rPr>
          <w:rFonts w:ascii="Calibri" w:hAnsi="Calibri" w:cs="Calibri"/>
          <w:b/>
          <w:bCs/>
          <w:sz w:val="22"/>
          <w:szCs w:val="22"/>
          <w:u w:val="single"/>
        </w:rPr>
        <w:t>(revised</w:t>
      </w:r>
      <w:r w:rsidRPr="00493D1E">
        <w:rPr>
          <w:rFonts w:ascii="Calibri" w:hAnsi="Calibri" w:cs="Calibri"/>
          <w:b/>
          <w:bCs/>
          <w:sz w:val="22"/>
          <w:szCs w:val="22"/>
          <w:u w:val="single"/>
        </w:rPr>
        <w:t xml:space="preserve"> November 2023)</w:t>
      </w:r>
    </w:p>
    <w:p w14:paraId="52861593" w14:textId="77777777" w:rsidR="00A12890" w:rsidRDefault="002A25D7" w:rsidP="00E2306E">
      <w:pPr>
        <w:jc w:val="both"/>
        <w:rPr>
          <w:rFonts w:ascii="Calibri" w:hAnsi="Calibri" w:cs="Calibri"/>
          <w:sz w:val="22"/>
          <w:szCs w:val="22"/>
        </w:rPr>
      </w:pPr>
      <w:r w:rsidRPr="00493D1E">
        <w:rPr>
          <w:rFonts w:ascii="Calibri" w:hAnsi="Calibri" w:cs="Calibri"/>
          <w:sz w:val="22"/>
          <w:szCs w:val="22"/>
        </w:rPr>
        <w:lastRenderedPageBreak/>
        <w:t>Chapter 16 of the NPPF relates to</w:t>
      </w:r>
      <w:r w:rsidRPr="00A12890">
        <w:rPr>
          <w:rFonts w:ascii="Calibri" w:hAnsi="Calibri" w:cs="Calibri"/>
          <w:sz w:val="22"/>
          <w:szCs w:val="22"/>
        </w:rPr>
        <w:t xml:space="preserve"> the </w:t>
      </w:r>
      <w:r w:rsidRPr="00493D1E">
        <w:rPr>
          <w:rFonts w:ascii="Calibri" w:hAnsi="Calibri" w:cs="Calibri"/>
          <w:b/>
          <w:bCs/>
          <w:sz w:val="22"/>
          <w:szCs w:val="22"/>
        </w:rPr>
        <w:t>Historic Environment</w:t>
      </w:r>
      <w:r w:rsidRPr="00493D1E">
        <w:rPr>
          <w:rFonts w:ascii="Calibri" w:hAnsi="Calibri" w:cs="Calibri"/>
          <w:sz w:val="22"/>
          <w:szCs w:val="22"/>
        </w:rPr>
        <w:t xml:space="preserve"> </w:t>
      </w:r>
      <w:r w:rsidR="00A12890">
        <w:rPr>
          <w:rFonts w:ascii="Calibri" w:hAnsi="Calibri" w:cs="Calibri"/>
          <w:sz w:val="22"/>
          <w:szCs w:val="22"/>
        </w:rPr>
        <w:t xml:space="preserve">comprising </w:t>
      </w:r>
      <w:r w:rsidRPr="00493D1E">
        <w:rPr>
          <w:rFonts w:ascii="Calibri" w:hAnsi="Calibri" w:cs="Calibri"/>
          <w:sz w:val="22"/>
          <w:szCs w:val="22"/>
        </w:rPr>
        <w:t xml:space="preserve">paragraphs 195 – 214. </w:t>
      </w:r>
      <w:r w:rsidR="00E2306E">
        <w:rPr>
          <w:rFonts w:ascii="Calibri" w:hAnsi="Calibri" w:cs="Calibri"/>
          <w:sz w:val="22"/>
          <w:szCs w:val="22"/>
        </w:rPr>
        <w:t>T</w:t>
      </w:r>
      <w:r w:rsidRPr="00493D1E">
        <w:rPr>
          <w:rFonts w:ascii="Calibri" w:hAnsi="Calibri" w:cs="Calibri"/>
          <w:sz w:val="22"/>
          <w:szCs w:val="22"/>
        </w:rPr>
        <w:t>he following paragraph</w:t>
      </w:r>
      <w:r w:rsidR="00343DA8" w:rsidRPr="00493D1E">
        <w:rPr>
          <w:rFonts w:ascii="Calibri" w:hAnsi="Calibri" w:cs="Calibri"/>
          <w:sz w:val="22"/>
          <w:szCs w:val="22"/>
        </w:rPr>
        <w:t xml:space="preserve">s are most relevant to </w:t>
      </w:r>
      <w:r w:rsidRPr="00493D1E">
        <w:rPr>
          <w:rFonts w:ascii="Calibri" w:hAnsi="Calibri" w:cs="Calibri"/>
          <w:sz w:val="22"/>
          <w:szCs w:val="22"/>
        </w:rPr>
        <w:t xml:space="preserve">the </w:t>
      </w:r>
      <w:r w:rsidR="00A12890">
        <w:rPr>
          <w:rFonts w:ascii="Calibri" w:hAnsi="Calibri" w:cs="Calibri"/>
          <w:sz w:val="22"/>
          <w:szCs w:val="22"/>
        </w:rPr>
        <w:t xml:space="preserve">consideration of potential impacts on the heritage asset(s): </w:t>
      </w:r>
      <w:r w:rsidR="00343DA8" w:rsidRPr="00493D1E">
        <w:rPr>
          <w:rFonts w:ascii="Calibri" w:hAnsi="Calibri" w:cs="Calibri"/>
          <w:sz w:val="22"/>
          <w:szCs w:val="22"/>
        </w:rPr>
        <w:t xml:space="preserve"> </w:t>
      </w:r>
    </w:p>
    <w:p w14:paraId="214FCECA" w14:textId="0C3B1AF6" w:rsidR="00A12890" w:rsidRDefault="00A12890" w:rsidP="00E2306E">
      <w:pPr>
        <w:jc w:val="both"/>
        <w:rPr>
          <w:rFonts w:ascii="Calibri" w:hAnsi="Calibri" w:cs="Calibri"/>
          <w:sz w:val="22"/>
          <w:szCs w:val="22"/>
        </w:rPr>
      </w:pPr>
      <w:r>
        <w:rPr>
          <w:rFonts w:ascii="Calibri" w:hAnsi="Calibri" w:cs="Calibri"/>
          <w:sz w:val="22"/>
          <w:szCs w:val="22"/>
        </w:rPr>
        <w:t xml:space="preserve">Para 205 states that: </w:t>
      </w:r>
    </w:p>
    <w:p w14:paraId="22F915D3" w14:textId="55AA93BF" w:rsidR="00A12890" w:rsidRPr="00A12890" w:rsidRDefault="00A12890" w:rsidP="00E2306E">
      <w:pPr>
        <w:jc w:val="both"/>
        <w:rPr>
          <w:rFonts w:ascii="Calibri" w:hAnsi="Calibri" w:cs="Calibri"/>
          <w:i/>
          <w:iCs/>
          <w:sz w:val="22"/>
          <w:szCs w:val="22"/>
        </w:rPr>
      </w:pPr>
      <w:r w:rsidRPr="00A12890">
        <w:rPr>
          <w:rFonts w:ascii="Calibri" w:hAnsi="Calibri" w:cs="Calibri"/>
          <w:i/>
          <w:iCs/>
          <w:color w:val="0B0C0C"/>
          <w:sz w:val="22"/>
          <w:szCs w:val="22"/>
          <w:shd w:val="clear" w:color="auto" w:fill="FFFFFF"/>
        </w:rPr>
        <w:t>‘When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w:t>
      </w:r>
    </w:p>
    <w:p w14:paraId="2B49CC40" w14:textId="0DBCE710" w:rsidR="00E2306E" w:rsidRDefault="00E2306E" w:rsidP="00E2306E">
      <w:pPr>
        <w:jc w:val="both"/>
        <w:rPr>
          <w:rFonts w:ascii="Calibri" w:hAnsi="Calibri" w:cs="Calibri"/>
          <w:sz w:val="22"/>
          <w:szCs w:val="22"/>
        </w:rPr>
      </w:pPr>
      <w:r>
        <w:rPr>
          <w:rFonts w:ascii="Calibri" w:hAnsi="Calibri" w:cs="Calibri"/>
          <w:sz w:val="22"/>
          <w:szCs w:val="22"/>
        </w:rPr>
        <w:t xml:space="preserve">Para 206 states that: </w:t>
      </w:r>
    </w:p>
    <w:p w14:paraId="492D8F7D" w14:textId="77777777" w:rsidR="00E2306E" w:rsidRPr="000C1B14" w:rsidRDefault="00E2306E" w:rsidP="00E2306E">
      <w:pPr>
        <w:pStyle w:val="NormalWeb"/>
        <w:shd w:val="clear" w:color="auto" w:fill="FFFFFF"/>
        <w:spacing w:before="300" w:beforeAutospacing="0" w:after="300" w:afterAutospacing="0"/>
        <w:rPr>
          <w:rFonts w:ascii="Calibri" w:hAnsi="Calibri" w:cs="Calibri"/>
          <w:i/>
          <w:iCs/>
          <w:color w:val="0B0C0C"/>
          <w:sz w:val="22"/>
          <w:szCs w:val="22"/>
        </w:rPr>
      </w:pPr>
      <w:r>
        <w:rPr>
          <w:rFonts w:ascii="Calibri" w:hAnsi="Calibri" w:cs="Calibri"/>
          <w:i/>
          <w:iCs/>
          <w:color w:val="0B0C0C"/>
          <w:sz w:val="22"/>
          <w:szCs w:val="22"/>
        </w:rPr>
        <w:t>‘</w:t>
      </w:r>
      <w:r w:rsidRPr="000C1B14">
        <w:rPr>
          <w:rFonts w:ascii="Calibri" w:hAnsi="Calibri" w:cs="Calibri"/>
          <w:i/>
          <w:iCs/>
          <w:color w:val="0B0C0C"/>
          <w:sz w:val="22"/>
          <w:szCs w:val="22"/>
        </w:rPr>
        <w:t>Any harm to, or loss of, the significance of a designated heritage asset (from its alteration or destruction, or from development within its setting), should require clear and convincing justification. Substantial harm to or loss of:</w:t>
      </w:r>
    </w:p>
    <w:p w14:paraId="73E678E3" w14:textId="77777777" w:rsidR="00E2306E" w:rsidRPr="000C1B14" w:rsidRDefault="00E2306E" w:rsidP="00E2306E">
      <w:pPr>
        <w:pStyle w:val="NormalWeb"/>
        <w:shd w:val="clear" w:color="auto" w:fill="FFFFFF"/>
        <w:spacing w:before="300" w:beforeAutospacing="0" w:after="300" w:afterAutospacing="0"/>
        <w:rPr>
          <w:rFonts w:ascii="Calibri" w:hAnsi="Calibri" w:cs="Calibri"/>
          <w:i/>
          <w:iCs/>
          <w:color w:val="0B0C0C"/>
          <w:sz w:val="22"/>
          <w:szCs w:val="22"/>
        </w:rPr>
      </w:pPr>
      <w:r w:rsidRPr="000C1B14">
        <w:rPr>
          <w:rFonts w:ascii="Calibri" w:hAnsi="Calibri" w:cs="Calibri"/>
          <w:i/>
          <w:iCs/>
          <w:color w:val="0B0C0C"/>
          <w:sz w:val="22"/>
          <w:szCs w:val="22"/>
        </w:rPr>
        <w:t>(a) grade II listed buildings, or grade II registered parks or gardens, should be exceptional;</w:t>
      </w:r>
    </w:p>
    <w:p w14:paraId="1EFB571E" w14:textId="6A0FF0E5" w:rsidR="00E2306E" w:rsidRPr="00E2306E" w:rsidRDefault="00E2306E" w:rsidP="00E2306E">
      <w:pPr>
        <w:pStyle w:val="NormalWeb"/>
        <w:shd w:val="clear" w:color="auto" w:fill="FFFFFF"/>
        <w:spacing w:before="300" w:beforeAutospacing="0" w:after="300" w:afterAutospacing="0"/>
        <w:rPr>
          <w:rFonts w:ascii="Calibri" w:hAnsi="Calibri" w:cs="Calibri"/>
          <w:i/>
          <w:iCs/>
          <w:color w:val="0B0C0C"/>
          <w:sz w:val="22"/>
          <w:szCs w:val="22"/>
        </w:rPr>
      </w:pPr>
      <w:r w:rsidRPr="000C1B14">
        <w:rPr>
          <w:rFonts w:ascii="Calibri" w:hAnsi="Calibri" w:cs="Calibri"/>
          <w:i/>
          <w:iCs/>
          <w:color w:val="0B0C0C"/>
          <w:sz w:val="22"/>
          <w:szCs w:val="22"/>
        </w:rPr>
        <w:t>(b) assets of the highest significance, notably scheduled monuments, protected wreck sites, registered battlefields, grade I and II* listed buildings, grade I and II* registered parks and gardens, and World Heritage Sites, should be wholly exceptional</w:t>
      </w:r>
      <w:r>
        <w:rPr>
          <w:rFonts w:ascii="Calibri" w:hAnsi="Calibri" w:cs="Calibri"/>
          <w:i/>
          <w:iCs/>
          <w:color w:val="0B0C0C"/>
          <w:sz w:val="22"/>
          <w:szCs w:val="22"/>
        </w:rPr>
        <w:t>’</w:t>
      </w:r>
    </w:p>
    <w:p w14:paraId="693EE17C" w14:textId="5DADFE88" w:rsidR="009769E7" w:rsidRPr="009769E7" w:rsidRDefault="00A52F89" w:rsidP="002A25D7">
      <w:pPr>
        <w:jc w:val="both"/>
        <w:rPr>
          <w:rFonts w:ascii="Calibri" w:hAnsi="Calibri" w:cs="Calibri"/>
          <w:sz w:val="22"/>
          <w:szCs w:val="22"/>
        </w:rPr>
      </w:pPr>
      <w:r w:rsidRPr="009769E7">
        <w:rPr>
          <w:rFonts w:ascii="Calibri" w:hAnsi="Calibri" w:cs="Calibri"/>
          <w:sz w:val="22"/>
          <w:szCs w:val="22"/>
        </w:rPr>
        <w:t xml:space="preserve">Para </w:t>
      </w:r>
      <w:r w:rsidR="009769E7" w:rsidRPr="009769E7">
        <w:rPr>
          <w:rFonts w:ascii="Calibri" w:hAnsi="Calibri" w:cs="Calibri"/>
          <w:sz w:val="22"/>
          <w:szCs w:val="22"/>
        </w:rPr>
        <w:t xml:space="preserve">207 states that: </w:t>
      </w:r>
    </w:p>
    <w:p w14:paraId="51CEE589" w14:textId="67F88015" w:rsidR="00A52F89" w:rsidRPr="009769E7" w:rsidRDefault="009769E7" w:rsidP="002A25D7">
      <w:pPr>
        <w:jc w:val="both"/>
        <w:rPr>
          <w:rFonts w:ascii="Calibri" w:hAnsi="Calibri" w:cs="Calibri"/>
          <w:i/>
          <w:iCs/>
          <w:sz w:val="22"/>
          <w:szCs w:val="22"/>
          <w:highlight w:val="yellow"/>
        </w:rPr>
      </w:pPr>
      <w:r w:rsidRPr="009769E7">
        <w:rPr>
          <w:rFonts w:ascii="Calibri" w:hAnsi="Calibri" w:cs="Calibri"/>
          <w:i/>
          <w:iCs/>
          <w:sz w:val="22"/>
          <w:szCs w:val="22"/>
        </w:rPr>
        <w:t xml:space="preserve">‘where a development will result in </w:t>
      </w:r>
      <w:r w:rsidRPr="00D132BD">
        <w:rPr>
          <w:rFonts w:ascii="Calibri" w:hAnsi="Calibri" w:cs="Calibri"/>
          <w:b/>
          <w:bCs/>
          <w:i/>
          <w:iCs/>
          <w:sz w:val="22"/>
          <w:szCs w:val="22"/>
        </w:rPr>
        <w:t>substantial harm to, or total loss of</w:t>
      </w:r>
      <w:r w:rsidRPr="009769E7">
        <w:rPr>
          <w:rFonts w:ascii="Calibri" w:hAnsi="Calibri" w:cs="Calibri"/>
          <w:i/>
          <w:iCs/>
          <w:sz w:val="22"/>
          <w:szCs w:val="22"/>
        </w:rPr>
        <w:t>, the significance of a designated heritage asset, permission should be refused, unless this harm is necessary to achieve substantial public benefits, or a number of criteria are met. Where less than substantial harm is identified paragraph 208 requires this harm to be weighed against the public benefits of the proposed development</w:t>
      </w:r>
    </w:p>
    <w:p w14:paraId="7D9F9CFA" w14:textId="0CAB07CD" w:rsidR="00A52F89" w:rsidRDefault="00A52F89" w:rsidP="002A25D7">
      <w:pPr>
        <w:jc w:val="both"/>
        <w:rPr>
          <w:rFonts w:ascii="Calibri" w:hAnsi="Calibri" w:cs="Calibri"/>
          <w:sz w:val="22"/>
          <w:szCs w:val="22"/>
        </w:rPr>
      </w:pPr>
      <w:r w:rsidRPr="00D132BD">
        <w:rPr>
          <w:rFonts w:ascii="Calibri" w:hAnsi="Calibri" w:cs="Calibri"/>
          <w:sz w:val="22"/>
          <w:szCs w:val="22"/>
        </w:rPr>
        <w:t xml:space="preserve">Para </w:t>
      </w:r>
      <w:r w:rsidR="00D132BD">
        <w:rPr>
          <w:rFonts w:ascii="Calibri" w:hAnsi="Calibri" w:cs="Calibri"/>
          <w:sz w:val="22"/>
          <w:szCs w:val="22"/>
        </w:rPr>
        <w:t xml:space="preserve">208 states that: </w:t>
      </w:r>
    </w:p>
    <w:p w14:paraId="6A495155" w14:textId="60A03CE2" w:rsidR="00D132BD" w:rsidRPr="00D132BD" w:rsidRDefault="00D132BD" w:rsidP="002A25D7">
      <w:pPr>
        <w:jc w:val="both"/>
        <w:rPr>
          <w:rFonts w:ascii="Calibri" w:hAnsi="Calibri" w:cs="Calibri"/>
          <w:i/>
          <w:iCs/>
          <w:sz w:val="22"/>
          <w:szCs w:val="22"/>
        </w:rPr>
      </w:pPr>
      <w:r w:rsidRPr="00D132BD">
        <w:rPr>
          <w:rFonts w:ascii="Calibri" w:hAnsi="Calibri" w:cs="Calibri"/>
          <w:i/>
          <w:iCs/>
          <w:color w:val="0B0C0C"/>
          <w:sz w:val="22"/>
          <w:szCs w:val="22"/>
          <w:shd w:val="clear" w:color="auto" w:fill="FFFFFF"/>
        </w:rPr>
        <w:t xml:space="preserve">‘Where a development proposal will lead to </w:t>
      </w:r>
      <w:r w:rsidRPr="00D132BD">
        <w:rPr>
          <w:rFonts w:ascii="Calibri" w:hAnsi="Calibri" w:cs="Calibri"/>
          <w:b/>
          <w:bCs/>
          <w:i/>
          <w:iCs/>
          <w:color w:val="0B0C0C"/>
          <w:sz w:val="22"/>
          <w:szCs w:val="22"/>
          <w:shd w:val="clear" w:color="auto" w:fill="FFFFFF"/>
        </w:rPr>
        <w:t>less than substantial harm</w:t>
      </w:r>
      <w:r w:rsidRPr="00D132BD">
        <w:rPr>
          <w:rFonts w:ascii="Calibri" w:hAnsi="Calibri" w:cs="Calibri"/>
          <w:i/>
          <w:iCs/>
          <w:color w:val="0B0C0C"/>
          <w:sz w:val="22"/>
          <w:szCs w:val="22"/>
          <w:shd w:val="clear" w:color="auto" w:fill="FFFFFF"/>
        </w:rPr>
        <w:t xml:space="preserve"> to the significance of a designated heritage asset, this harm should be weighed against the public benefits of the proposal including, where appropriate, securing its optimum viable use’.</w:t>
      </w:r>
    </w:p>
    <w:p w14:paraId="19385042" w14:textId="03C4809D" w:rsidR="002A25D7" w:rsidRPr="00493D1E" w:rsidRDefault="009769E7" w:rsidP="002A25D7">
      <w:pPr>
        <w:jc w:val="both"/>
        <w:rPr>
          <w:rFonts w:ascii="Calibri" w:hAnsi="Calibri" w:cs="Calibri"/>
          <w:sz w:val="22"/>
          <w:szCs w:val="22"/>
        </w:rPr>
      </w:pPr>
      <w:r>
        <w:rPr>
          <w:rFonts w:ascii="Calibri" w:hAnsi="Calibri" w:cs="Calibri"/>
          <w:sz w:val="22"/>
          <w:szCs w:val="22"/>
        </w:rPr>
        <w:t xml:space="preserve">Para 209 </w:t>
      </w:r>
      <w:r w:rsidR="00D132BD">
        <w:rPr>
          <w:rFonts w:ascii="Calibri" w:hAnsi="Calibri" w:cs="Calibri"/>
          <w:sz w:val="22"/>
          <w:szCs w:val="22"/>
        </w:rPr>
        <w:t xml:space="preserve">states that: </w:t>
      </w:r>
      <w:r>
        <w:rPr>
          <w:rFonts w:ascii="Calibri" w:hAnsi="Calibri" w:cs="Calibri"/>
          <w:sz w:val="22"/>
          <w:szCs w:val="22"/>
        </w:rPr>
        <w:t xml:space="preserve"> </w:t>
      </w:r>
    </w:p>
    <w:p w14:paraId="6109D59D" w14:textId="6492B5F8" w:rsidR="00D132BD" w:rsidRPr="00003B6E" w:rsidRDefault="002A25D7" w:rsidP="00B12D34">
      <w:pPr>
        <w:jc w:val="both"/>
        <w:rPr>
          <w:rFonts w:ascii="Calibri" w:hAnsi="Calibri" w:cs="Calibri"/>
          <w:i/>
          <w:iCs/>
          <w:sz w:val="22"/>
          <w:szCs w:val="22"/>
        </w:rPr>
      </w:pPr>
      <w:r w:rsidRPr="00493D1E">
        <w:rPr>
          <w:rFonts w:ascii="Calibri" w:hAnsi="Calibri" w:cs="Calibri"/>
          <w:i/>
          <w:iCs/>
          <w:color w:val="0B0C0C"/>
          <w:sz w:val="22"/>
          <w:szCs w:val="22"/>
          <w:shd w:val="clear" w:color="auto" w:fill="FFFFFF"/>
        </w:rPr>
        <w:t xml:space="preserve">‘The effect of an application on the significance of a non-designated heritage asset should be taken into account in determining the application. In weighing applications that directly or indirectly affect non-designated heritage assets, a balanced judgement will be required having regard to the scale of any harm or loss and the significance of the heritage asset’. </w:t>
      </w:r>
    </w:p>
    <w:p w14:paraId="2DCC8E94" w14:textId="2486C394" w:rsidR="00B374C1" w:rsidRPr="00493D1E" w:rsidRDefault="00B374C1" w:rsidP="00B12D34">
      <w:pPr>
        <w:jc w:val="both"/>
        <w:rPr>
          <w:rFonts w:ascii="Calibri" w:hAnsi="Calibri" w:cs="Calibri"/>
          <w:b/>
          <w:bCs/>
          <w:sz w:val="22"/>
          <w:szCs w:val="22"/>
          <w:u w:val="single"/>
        </w:rPr>
      </w:pPr>
      <w:r w:rsidRPr="00493D1E">
        <w:rPr>
          <w:rFonts w:ascii="Calibri" w:hAnsi="Calibri" w:cs="Calibri"/>
          <w:b/>
          <w:bCs/>
          <w:sz w:val="22"/>
          <w:szCs w:val="22"/>
          <w:u w:val="single"/>
        </w:rPr>
        <w:t>Havant Borough Local Plan (Core Strategy 2011 and Allocations Plan 2014)</w:t>
      </w:r>
    </w:p>
    <w:p w14:paraId="198AAFE1" w14:textId="51BABED4" w:rsidR="00B374C1" w:rsidRPr="00493D1E" w:rsidRDefault="00B374C1" w:rsidP="00B12D34">
      <w:pPr>
        <w:jc w:val="both"/>
        <w:rPr>
          <w:rFonts w:ascii="Calibri" w:hAnsi="Calibri" w:cs="Calibri"/>
          <w:b/>
          <w:bCs/>
          <w:sz w:val="22"/>
          <w:szCs w:val="22"/>
        </w:rPr>
      </w:pPr>
      <w:r w:rsidRPr="00493D1E">
        <w:rPr>
          <w:rFonts w:ascii="Calibri" w:hAnsi="Calibri" w:cs="Calibri"/>
          <w:b/>
          <w:bCs/>
          <w:sz w:val="22"/>
          <w:szCs w:val="22"/>
        </w:rPr>
        <w:t xml:space="preserve">Policy CS11 </w:t>
      </w:r>
      <w:r w:rsidR="002F6E50" w:rsidRPr="00493D1E">
        <w:rPr>
          <w:rFonts w:ascii="Calibri" w:hAnsi="Calibri" w:cs="Calibri"/>
          <w:b/>
          <w:bCs/>
          <w:sz w:val="22"/>
          <w:szCs w:val="22"/>
        </w:rPr>
        <w:t>–</w:t>
      </w:r>
      <w:r w:rsidRPr="00493D1E">
        <w:rPr>
          <w:rFonts w:ascii="Calibri" w:hAnsi="Calibri" w:cs="Calibri"/>
          <w:b/>
          <w:bCs/>
          <w:sz w:val="22"/>
          <w:szCs w:val="22"/>
        </w:rPr>
        <w:t xml:space="preserve"> </w:t>
      </w:r>
      <w:r w:rsidR="002F6E50" w:rsidRPr="00493D1E">
        <w:rPr>
          <w:rFonts w:ascii="Calibri" w:hAnsi="Calibri" w:cs="Calibri"/>
          <w:b/>
          <w:bCs/>
          <w:sz w:val="22"/>
          <w:szCs w:val="22"/>
        </w:rPr>
        <w:t>Protecting and Enhancing the Special Environment and Heritage of the Havant Borough</w:t>
      </w:r>
    </w:p>
    <w:p w14:paraId="01A18618" w14:textId="0FD63D68" w:rsidR="00B374C1" w:rsidRPr="00493D1E" w:rsidRDefault="002F6E50" w:rsidP="00B374C1">
      <w:pPr>
        <w:jc w:val="both"/>
        <w:rPr>
          <w:rFonts w:ascii="Calibri" w:hAnsi="Calibri" w:cs="Calibri"/>
          <w:bCs/>
          <w:sz w:val="22"/>
          <w:szCs w:val="22"/>
        </w:rPr>
      </w:pPr>
      <w:r w:rsidRPr="00493D1E">
        <w:rPr>
          <w:rFonts w:ascii="Calibri" w:hAnsi="Calibri" w:cs="Calibri"/>
          <w:sz w:val="22"/>
          <w:szCs w:val="22"/>
        </w:rPr>
        <w:t xml:space="preserve">Policy CS11 (4) states that </w:t>
      </w:r>
      <w:r w:rsidR="00B374C1" w:rsidRPr="00493D1E">
        <w:rPr>
          <w:rFonts w:ascii="Calibri" w:hAnsi="Calibri" w:cs="Calibri"/>
          <w:bCs/>
          <w:sz w:val="22"/>
          <w:szCs w:val="22"/>
        </w:rPr>
        <w:t xml:space="preserve">planning permission will be granted for development </w:t>
      </w:r>
      <w:r w:rsidRPr="00493D1E">
        <w:rPr>
          <w:rFonts w:ascii="Calibri" w:hAnsi="Calibri" w:cs="Calibri"/>
          <w:bCs/>
          <w:sz w:val="22"/>
          <w:szCs w:val="22"/>
        </w:rPr>
        <w:t xml:space="preserve">which: </w:t>
      </w:r>
    </w:p>
    <w:p w14:paraId="2CA1E6DD" w14:textId="596C7417" w:rsidR="00B374C1" w:rsidRPr="00493D1E" w:rsidRDefault="002F6E50" w:rsidP="00B374C1">
      <w:pPr>
        <w:jc w:val="both"/>
        <w:rPr>
          <w:rFonts w:ascii="Calibri" w:hAnsi="Calibri" w:cs="Calibri"/>
          <w:i/>
          <w:iCs/>
          <w:sz w:val="22"/>
          <w:szCs w:val="22"/>
        </w:rPr>
      </w:pPr>
      <w:r w:rsidRPr="00493D1E">
        <w:rPr>
          <w:rFonts w:ascii="Calibri" w:hAnsi="Calibri" w:cs="Calibri"/>
          <w:i/>
          <w:iCs/>
          <w:sz w:val="22"/>
          <w:szCs w:val="22"/>
        </w:rPr>
        <w:lastRenderedPageBreak/>
        <w:t>‘</w:t>
      </w:r>
      <w:r w:rsidR="00B374C1" w:rsidRPr="00493D1E">
        <w:rPr>
          <w:rFonts w:ascii="Calibri" w:hAnsi="Calibri" w:cs="Calibri"/>
          <w:i/>
          <w:iCs/>
          <w:sz w:val="22"/>
          <w:szCs w:val="22"/>
        </w:rPr>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r w:rsidRPr="00493D1E">
        <w:rPr>
          <w:rFonts w:ascii="Calibri" w:hAnsi="Calibri" w:cs="Calibri"/>
          <w:i/>
          <w:iCs/>
          <w:sz w:val="22"/>
          <w:szCs w:val="22"/>
        </w:rPr>
        <w:t>’</w:t>
      </w:r>
      <w:r w:rsidR="00B374C1" w:rsidRPr="00493D1E">
        <w:rPr>
          <w:rFonts w:ascii="Calibri" w:hAnsi="Calibri" w:cs="Calibri"/>
          <w:i/>
          <w:iCs/>
          <w:sz w:val="22"/>
          <w:szCs w:val="22"/>
        </w:rPr>
        <w:t>.</w:t>
      </w:r>
    </w:p>
    <w:p w14:paraId="640D0AA1" w14:textId="475EAA5A" w:rsidR="002F6E50" w:rsidRPr="00493D1E" w:rsidRDefault="002F6E50" w:rsidP="00B374C1">
      <w:pPr>
        <w:jc w:val="both"/>
        <w:rPr>
          <w:rFonts w:ascii="Calibri" w:hAnsi="Calibri" w:cs="Calibri"/>
          <w:b/>
          <w:bCs/>
          <w:sz w:val="22"/>
          <w:szCs w:val="22"/>
        </w:rPr>
      </w:pPr>
      <w:r w:rsidRPr="00493D1E">
        <w:rPr>
          <w:rFonts w:ascii="Calibri" w:hAnsi="Calibri" w:cs="Calibri"/>
          <w:b/>
          <w:bCs/>
          <w:sz w:val="22"/>
          <w:szCs w:val="22"/>
        </w:rPr>
        <w:t xml:space="preserve">Policy CS16 – High Quality Design </w:t>
      </w:r>
    </w:p>
    <w:p w14:paraId="2296A468"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CP16 (1a) of the Core Strategy states</w:t>
      </w:r>
      <w:r w:rsidR="00A75182" w:rsidRPr="00493D1E">
        <w:rPr>
          <w:rFonts w:ascii="Calibri" w:hAnsi="Calibri" w:cs="Calibri"/>
          <w:sz w:val="22"/>
          <w:szCs w:val="22"/>
        </w:rPr>
        <w:t xml:space="preserve"> that: </w:t>
      </w:r>
      <w:r w:rsidRPr="00493D1E">
        <w:rPr>
          <w:rFonts w:ascii="Calibri" w:hAnsi="Calibri" w:cs="Calibri"/>
          <w:sz w:val="22"/>
          <w:szCs w:val="22"/>
        </w:rPr>
        <w:t xml:space="preserve"> </w:t>
      </w:r>
    </w:p>
    <w:p w14:paraId="5A228334" w14:textId="037B0C61" w:rsidR="00B374C1" w:rsidRPr="00493D1E" w:rsidRDefault="00B374C1" w:rsidP="00B374C1">
      <w:pPr>
        <w:jc w:val="both"/>
        <w:rPr>
          <w:rFonts w:ascii="Calibri" w:hAnsi="Calibri" w:cs="Calibri"/>
          <w:i/>
          <w:iCs/>
          <w:sz w:val="22"/>
          <w:szCs w:val="22"/>
        </w:rPr>
      </w:pPr>
      <w:r w:rsidRPr="00493D1E">
        <w:rPr>
          <w:rFonts w:ascii="Calibri" w:hAnsi="Calibri" w:cs="Calibri"/>
          <w:i/>
          <w:iCs/>
          <w:sz w:val="22"/>
          <w:szCs w:val="22"/>
        </w:rPr>
        <w:t>‘Planning permission will be granted for development that is designed to a high standard, which helps to create places where people want to live, work and relax. All development should demonstrate that its design:</w:t>
      </w:r>
    </w:p>
    <w:p w14:paraId="79103BD7" w14:textId="54F4535D" w:rsidR="00B374C1" w:rsidRPr="00493D1E" w:rsidRDefault="00B374C1"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Identifies and responds positively to existing features of natural, historic or local character within or close to the proposed development site’.</w:t>
      </w:r>
    </w:p>
    <w:p w14:paraId="16F6C0AB"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Integrates with existing local landscape features, promotes wildlife and biodiversity and/or applies characteristics of the local area into the design of a scheme wherever possible to create variety and interest; </w:t>
      </w:r>
    </w:p>
    <w:p w14:paraId="49E1B0FD"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Uses the characteristics of the locality to help inform the design of the new development including heights, massing, existing buildings lines, plot widths and depths, materials and proportions of windows and doors; </w:t>
      </w:r>
    </w:p>
    <w:p w14:paraId="6BB501BA"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Is well connected to and integrates with the immediate local area and the wider area by linking to existing pedestrian and cycle routes and encouraging people to use public transport where possible; and </w:t>
      </w:r>
    </w:p>
    <w:p w14:paraId="18E20928" w14:textId="3B06C9B6"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The development does not cause unacceptable harm to the amenity of neighbours through smell, the loss of privacy, outlook, noise and overlooking.</w:t>
      </w:r>
    </w:p>
    <w:p w14:paraId="7A6F54BD" w14:textId="10A44EEC" w:rsidR="00A75182" w:rsidRPr="00493D1E" w:rsidRDefault="00A75182" w:rsidP="00B374C1">
      <w:pPr>
        <w:jc w:val="both"/>
        <w:rPr>
          <w:rFonts w:ascii="Calibri" w:hAnsi="Calibri" w:cs="Calibri"/>
          <w:b/>
          <w:bCs/>
          <w:sz w:val="22"/>
          <w:szCs w:val="22"/>
        </w:rPr>
      </w:pPr>
      <w:r w:rsidRPr="00493D1E">
        <w:rPr>
          <w:rFonts w:ascii="Calibri" w:hAnsi="Calibri" w:cs="Calibri"/>
          <w:b/>
          <w:bCs/>
          <w:sz w:val="22"/>
          <w:szCs w:val="22"/>
        </w:rPr>
        <w:t xml:space="preserve">Policy DM20 (Allocations Plan) - Historic Assets </w:t>
      </w:r>
    </w:p>
    <w:p w14:paraId="48DC8A75"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DM20 states that</w:t>
      </w:r>
      <w:r w:rsidR="00A75182" w:rsidRPr="00493D1E">
        <w:rPr>
          <w:rFonts w:ascii="Calibri" w:hAnsi="Calibri" w:cs="Calibri"/>
          <w:sz w:val="22"/>
          <w:szCs w:val="22"/>
        </w:rPr>
        <w:t xml:space="preserve">; </w:t>
      </w:r>
      <w:r w:rsidRPr="00493D1E">
        <w:rPr>
          <w:rFonts w:ascii="Calibri" w:hAnsi="Calibri" w:cs="Calibri"/>
          <w:sz w:val="22"/>
          <w:szCs w:val="22"/>
        </w:rPr>
        <w:t xml:space="preserve"> </w:t>
      </w:r>
    </w:p>
    <w:p w14:paraId="7ED49672" w14:textId="0B1200E1" w:rsidR="00B374C1" w:rsidRPr="00493D1E" w:rsidRDefault="00A75182" w:rsidP="00B374C1">
      <w:pPr>
        <w:jc w:val="both"/>
        <w:rPr>
          <w:rFonts w:ascii="Calibri" w:hAnsi="Calibri" w:cs="Calibri"/>
          <w:i/>
          <w:iCs/>
          <w:sz w:val="22"/>
          <w:szCs w:val="22"/>
        </w:rPr>
      </w:pPr>
      <w:r w:rsidRPr="00493D1E">
        <w:rPr>
          <w:rFonts w:ascii="Calibri" w:hAnsi="Calibri" w:cs="Calibri"/>
          <w:i/>
          <w:iCs/>
          <w:sz w:val="22"/>
          <w:szCs w:val="22"/>
        </w:rPr>
        <w:t>‘Planning</w:t>
      </w:r>
      <w:r w:rsidR="00B374C1" w:rsidRPr="00493D1E">
        <w:rPr>
          <w:rFonts w:ascii="Calibri" w:hAnsi="Calibri" w:cs="Calibri"/>
          <w:i/>
          <w:iCs/>
          <w:sz w:val="22"/>
          <w:szCs w:val="22"/>
        </w:rPr>
        <w:t xml:space="preserve"> permission will be granted for development proposals that conserves and enhances the historic assets of Havant. It also states that application which affect, or have the potential to affect, heritage assets are expected to provide a Heritage Statement that: </w:t>
      </w:r>
    </w:p>
    <w:p w14:paraId="3C9C909F"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1. Describe the significance of the asset and its setting, using appropriate expertise</w:t>
      </w:r>
    </w:p>
    <w:p w14:paraId="5D64EB51"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and where necessary original survey, at a level of detail proportionate to its</w:t>
      </w:r>
    </w:p>
    <w:p w14:paraId="03A46E2D"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significance and sufficient to understand the potential impact of the proposal.</w:t>
      </w:r>
    </w:p>
    <w:p w14:paraId="56236F77"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p>
    <w:p w14:paraId="28780E22"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2. Sets out the impact of the development on the heritage assets and mitigation that is</w:t>
      </w:r>
    </w:p>
    <w:p w14:paraId="20C30964"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proportionate to the impact and the significance of the heritage asset, including</w:t>
      </w:r>
    </w:p>
    <w:p w14:paraId="5A17712B" w14:textId="505D5829" w:rsidR="00493D1E" w:rsidRPr="00493D1E" w:rsidRDefault="00B374C1" w:rsidP="00B12D34">
      <w:pPr>
        <w:jc w:val="both"/>
        <w:rPr>
          <w:rFonts w:ascii="Calibri" w:hAnsi="Calibri" w:cs="Calibri"/>
          <w:i/>
          <w:iCs/>
          <w:sz w:val="22"/>
          <w:szCs w:val="22"/>
        </w:rPr>
      </w:pPr>
      <w:r w:rsidRPr="00493D1E">
        <w:rPr>
          <w:rFonts w:ascii="Calibri" w:hAnsi="Calibri" w:cs="Calibri"/>
          <w:bCs/>
          <w:i/>
          <w:iCs/>
          <w:sz w:val="22"/>
          <w:szCs w:val="22"/>
        </w:rPr>
        <w:t>where possible positive opportunities to conserve and enjoy heritage assets.</w:t>
      </w:r>
    </w:p>
    <w:p w14:paraId="519590EF" w14:textId="4BB8769B" w:rsidR="00B12D34"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 xml:space="preserve">Assessment </w:t>
      </w:r>
    </w:p>
    <w:p w14:paraId="4BE089DD" w14:textId="42C3261E" w:rsidR="004F6B39" w:rsidRDefault="004F6B39" w:rsidP="00B12D34">
      <w:pPr>
        <w:jc w:val="both"/>
        <w:rPr>
          <w:rFonts w:ascii="Calibri" w:hAnsi="Calibri" w:cs="Calibri"/>
          <w:sz w:val="22"/>
          <w:szCs w:val="22"/>
        </w:rPr>
      </w:pPr>
      <w:r w:rsidRPr="004F6B39">
        <w:rPr>
          <w:rFonts w:ascii="Calibri" w:hAnsi="Calibri" w:cs="Calibri"/>
          <w:sz w:val="22"/>
          <w:szCs w:val="22"/>
        </w:rPr>
        <w:t>A Heritage Statement</w:t>
      </w:r>
      <w:r>
        <w:rPr>
          <w:rFonts w:ascii="Calibri" w:hAnsi="Calibri" w:cs="Calibri"/>
          <w:sz w:val="22"/>
          <w:szCs w:val="22"/>
        </w:rPr>
        <w:t xml:space="preserve"> (HS)</w:t>
      </w:r>
      <w:r w:rsidRPr="004F6B39">
        <w:rPr>
          <w:rFonts w:ascii="Calibri" w:hAnsi="Calibri" w:cs="Calibri"/>
          <w:sz w:val="22"/>
          <w:szCs w:val="22"/>
        </w:rPr>
        <w:t xml:space="preserve">, by SLR </w:t>
      </w:r>
      <w:r>
        <w:rPr>
          <w:rFonts w:ascii="Calibri" w:hAnsi="Calibri" w:cs="Calibri"/>
          <w:sz w:val="22"/>
          <w:szCs w:val="22"/>
        </w:rPr>
        <w:t xml:space="preserve">Consulting Ltd </w:t>
      </w:r>
      <w:r w:rsidRPr="004F6B39">
        <w:rPr>
          <w:rFonts w:ascii="Calibri" w:hAnsi="Calibri" w:cs="Calibri"/>
          <w:sz w:val="22"/>
          <w:szCs w:val="22"/>
        </w:rPr>
        <w:t>- 24</w:t>
      </w:r>
      <w:r w:rsidRPr="004F6B39">
        <w:rPr>
          <w:rFonts w:ascii="Calibri" w:hAnsi="Calibri" w:cs="Calibri"/>
          <w:sz w:val="22"/>
          <w:szCs w:val="22"/>
          <w:vertAlign w:val="superscript"/>
        </w:rPr>
        <w:t>th</w:t>
      </w:r>
      <w:r w:rsidRPr="004F6B39">
        <w:rPr>
          <w:rFonts w:ascii="Calibri" w:hAnsi="Calibri" w:cs="Calibri"/>
          <w:sz w:val="22"/>
          <w:szCs w:val="22"/>
        </w:rPr>
        <w:t xml:space="preserve"> July 2024, has been submitted with the </w:t>
      </w:r>
      <w:r>
        <w:rPr>
          <w:rFonts w:ascii="Calibri" w:hAnsi="Calibri" w:cs="Calibri"/>
          <w:sz w:val="22"/>
          <w:szCs w:val="22"/>
        </w:rPr>
        <w:t xml:space="preserve">reserved matters </w:t>
      </w:r>
      <w:r w:rsidRPr="004F6B39">
        <w:rPr>
          <w:rFonts w:ascii="Calibri" w:hAnsi="Calibri" w:cs="Calibri"/>
          <w:sz w:val="22"/>
          <w:szCs w:val="22"/>
        </w:rPr>
        <w:t xml:space="preserve">application. </w:t>
      </w:r>
    </w:p>
    <w:p w14:paraId="5B69C634" w14:textId="51D3C019" w:rsidR="004F6B39" w:rsidRDefault="004F6B39" w:rsidP="004F6B39">
      <w:pPr>
        <w:jc w:val="both"/>
        <w:rPr>
          <w:rFonts w:ascii="Calibri" w:hAnsi="Calibri" w:cs="Calibri"/>
          <w:sz w:val="22"/>
          <w:szCs w:val="22"/>
        </w:rPr>
      </w:pPr>
      <w:r w:rsidRPr="004F6B39">
        <w:rPr>
          <w:rFonts w:ascii="Calibri" w:hAnsi="Calibri" w:cs="Calibri"/>
          <w:sz w:val="22"/>
          <w:szCs w:val="22"/>
        </w:rPr>
        <w:t xml:space="preserve">The HS assesses in detail, the impact of the proposed development on the setting of the adjacent conservation area </w:t>
      </w:r>
      <w:r w:rsidR="00797985" w:rsidRPr="004F6B39">
        <w:rPr>
          <w:rFonts w:ascii="Calibri" w:hAnsi="Calibri" w:cs="Calibri"/>
          <w:sz w:val="22"/>
          <w:szCs w:val="22"/>
        </w:rPr>
        <w:t>and</w:t>
      </w:r>
      <w:r w:rsidRPr="004F6B39">
        <w:rPr>
          <w:rFonts w:ascii="Calibri" w:hAnsi="Calibri" w:cs="Calibri"/>
          <w:sz w:val="22"/>
          <w:szCs w:val="22"/>
        </w:rPr>
        <w:t xml:space="preserve"> reflects on the impact of the now completed </w:t>
      </w:r>
      <w:r w:rsidR="00797985">
        <w:rPr>
          <w:rFonts w:ascii="Calibri" w:hAnsi="Calibri" w:cs="Calibri"/>
          <w:sz w:val="22"/>
          <w:szCs w:val="22"/>
        </w:rPr>
        <w:t>P</w:t>
      </w:r>
      <w:r w:rsidRPr="004F6B39">
        <w:rPr>
          <w:rFonts w:ascii="Calibri" w:hAnsi="Calibri" w:cs="Calibri"/>
          <w:sz w:val="22"/>
          <w:szCs w:val="22"/>
        </w:rPr>
        <w:t xml:space="preserve">hase 1 of the development – St Thomas’ Mead. It acknowledges that this has altered the character of part of the setting to now be </w:t>
      </w:r>
      <w:r w:rsidRPr="004F6B39">
        <w:rPr>
          <w:rFonts w:ascii="Calibri" w:hAnsi="Calibri" w:cs="Calibri"/>
          <w:sz w:val="22"/>
          <w:szCs w:val="22"/>
        </w:rPr>
        <w:lastRenderedPageBreak/>
        <w:t xml:space="preserve">suburban however, it does not detract from the historic core of Character Area 1 and the resultant harm on the setting of Character Area 5, is mitigated by the high-quality buildings, generous landscaping and green space, separation and set back from Lower Road. </w:t>
      </w:r>
    </w:p>
    <w:p w14:paraId="5D63A52C" w14:textId="61C46427" w:rsidR="009059C4" w:rsidRPr="009059C4" w:rsidRDefault="009059C4" w:rsidP="004F6B39">
      <w:pPr>
        <w:jc w:val="both"/>
        <w:rPr>
          <w:rFonts w:ascii="Calibri" w:hAnsi="Calibri" w:cs="Calibri"/>
          <w:b/>
          <w:bCs/>
          <w:sz w:val="22"/>
          <w:szCs w:val="22"/>
        </w:rPr>
      </w:pPr>
      <w:r w:rsidRPr="009059C4">
        <w:rPr>
          <w:rFonts w:ascii="Calibri" w:hAnsi="Calibri" w:cs="Calibri"/>
          <w:b/>
          <w:bCs/>
          <w:sz w:val="22"/>
          <w:szCs w:val="22"/>
        </w:rPr>
        <w:t xml:space="preserve">Appeal Decision for outline permission: </w:t>
      </w:r>
    </w:p>
    <w:p w14:paraId="4004BAA4" w14:textId="557E29A6" w:rsidR="0055452E" w:rsidRDefault="0055452E" w:rsidP="004F6B39">
      <w:pPr>
        <w:jc w:val="both"/>
        <w:rPr>
          <w:rFonts w:ascii="Calibri" w:hAnsi="Calibri" w:cs="Calibri"/>
          <w:sz w:val="22"/>
          <w:szCs w:val="22"/>
        </w:rPr>
      </w:pPr>
      <w:r>
        <w:rPr>
          <w:rFonts w:ascii="Calibri" w:hAnsi="Calibri" w:cs="Calibri"/>
          <w:sz w:val="22"/>
          <w:szCs w:val="22"/>
        </w:rPr>
        <w:t xml:space="preserve">With regards to the application site, the Planning Inspector, when considering the site for outline approval for 43no. dwellings, found that: </w:t>
      </w:r>
    </w:p>
    <w:p w14:paraId="75C5518E" w14:textId="45AAADBA" w:rsidR="0055452E" w:rsidRPr="0055452E" w:rsidRDefault="0055452E" w:rsidP="0055452E">
      <w:pPr>
        <w:jc w:val="both"/>
        <w:rPr>
          <w:rFonts w:ascii="Calibri" w:hAnsi="Calibri" w:cs="Calibri"/>
          <w:i/>
          <w:iCs/>
          <w:sz w:val="22"/>
          <w:szCs w:val="22"/>
        </w:rPr>
      </w:pPr>
      <w:r w:rsidRPr="0055452E">
        <w:rPr>
          <w:rFonts w:ascii="Calibri" w:hAnsi="Calibri" w:cs="Calibri"/>
          <w:i/>
          <w:iCs/>
          <w:sz w:val="22"/>
          <w:szCs w:val="22"/>
        </w:rPr>
        <w:t>‘The</w:t>
      </w:r>
      <w:r w:rsidRPr="0055452E">
        <w:rPr>
          <w:rFonts w:ascii="Calibri" w:hAnsi="Calibri" w:cs="Calibri"/>
          <w:i/>
          <w:iCs/>
          <w:sz w:val="22"/>
          <w:szCs w:val="22"/>
        </w:rPr>
        <w:t xml:space="preserve"> appeal scheme would result in some low moderate harm to the setting and significance of the CA. As a result, the proposal would be at odds with Policies CS11 and CS16 of the CS and Policy DM20 of the LP, which seek to secure development that protects conservation areas</w:t>
      </w:r>
      <w:r w:rsidRPr="0055452E">
        <w:rPr>
          <w:rFonts w:ascii="Calibri" w:hAnsi="Calibri" w:cs="Calibri"/>
          <w:i/>
          <w:iCs/>
          <w:sz w:val="22"/>
          <w:szCs w:val="22"/>
        </w:rPr>
        <w:t>’</w:t>
      </w:r>
      <w:r w:rsidRPr="0055452E">
        <w:rPr>
          <w:rFonts w:ascii="Calibri" w:hAnsi="Calibri" w:cs="Calibri"/>
          <w:i/>
          <w:iCs/>
          <w:sz w:val="22"/>
          <w:szCs w:val="22"/>
        </w:rPr>
        <w:t>.</w:t>
      </w:r>
    </w:p>
    <w:p w14:paraId="6B96AD0B" w14:textId="3D15C4FC" w:rsidR="0055452E" w:rsidRDefault="000C1BA8" w:rsidP="004F6B39">
      <w:pPr>
        <w:jc w:val="both"/>
        <w:rPr>
          <w:rFonts w:ascii="Calibri" w:hAnsi="Calibri" w:cs="Calibri"/>
          <w:sz w:val="22"/>
          <w:szCs w:val="22"/>
        </w:rPr>
      </w:pPr>
      <w:r>
        <w:rPr>
          <w:rFonts w:ascii="Calibri" w:hAnsi="Calibri" w:cs="Calibri"/>
          <w:sz w:val="22"/>
          <w:szCs w:val="22"/>
        </w:rPr>
        <w:t xml:space="preserve">However, they also advised that: </w:t>
      </w:r>
    </w:p>
    <w:p w14:paraId="5392EDD6" w14:textId="3CDCA221" w:rsidR="000C1BA8" w:rsidRDefault="000C1BA8" w:rsidP="000C1BA8">
      <w:pPr>
        <w:jc w:val="both"/>
        <w:rPr>
          <w:rFonts w:ascii="Calibri" w:hAnsi="Calibri" w:cs="Calibri"/>
          <w:i/>
          <w:iCs/>
          <w:sz w:val="22"/>
          <w:szCs w:val="22"/>
        </w:rPr>
      </w:pPr>
      <w:r>
        <w:rPr>
          <w:rFonts w:ascii="Calibri" w:hAnsi="Calibri" w:cs="Calibri"/>
          <w:i/>
          <w:iCs/>
          <w:sz w:val="22"/>
          <w:szCs w:val="22"/>
        </w:rPr>
        <w:t>‘</w:t>
      </w:r>
      <w:r w:rsidRPr="000C1BA8">
        <w:rPr>
          <w:rFonts w:ascii="Calibri" w:hAnsi="Calibri" w:cs="Calibri"/>
          <w:i/>
          <w:iCs/>
          <w:sz w:val="22"/>
          <w:szCs w:val="22"/>
        </w:rPr>
        <w:t>There would also be scope to soften the presence of the development when viewed from Lower Road through continuous structural landscaping along the northern boundary and by setting the housing back from the road. There would also be opportunities to design the appeal scheme to respond positively to the key characteristics of CA1 and CA5, such as the period architecture/materials/detailing, use of boundary walling/hedging and the loose and verdant settlement pattern. The development can also be restricted to two storeys in height to prevent the scheme appearing overly prominent in the setting of the CA. Accordingly, the overall and cumulative level of harm to the setting of the CA would be below that found by the previous Inspector. It would be low moderate</w:t>
      </w:r>
      <w:r>
        <w:rPr>
          <w:rFonts w:ascii="Calibri" w:hAnsi="Calibri" w:cs="Calibri"/>
          <w:i/>
          <w:iCs/>
          <w:sz w:val="22"/>
          <w:szCs w:val="22"/>
        </w:rPr>
        <w:t>’</w:t>
      </w:r>
      <w:r w:rsidRPr="000C1BA8">
        <w:rPr>
          <w:rFonts w:ascii="Calibri" w:hAnsi="Calibri" w:cs="Calibri"/>
          <w:i/>
          <w:iCs/>
          <w:sz w:val="22"/>
          <w:szCs w:val="22"/>
        </w:rPr>
        <w:t>.</w:t>
      </w:r>
    </w:p>
    <w:p w14:paraId="15166338" w14:textId="710098CF" w:rsidR="009059C4" w:rsidRPr="009059C4" w:rsidRDefault="009059C4" w:rsidP="000C1BA8">
      <w:pPr>
        <w:jc w:val="both"/>
        <w:rPr>
          <w:rFonts w:ascii="Calibri" w:hAnsi="Calibri" w:cs="Calibri"/>
          <w:b/>
          <w:bCs/>
          <w:sz w:val="22"/>
          <w:szCs w:val="22"/>
        </w:rPr>
      </w:pPr>
      <w:r w:rsidRPr="009059C4">
        <w:rPr>
          <w:rFonts w:ascii="Calibri" w:hAnsi="Calibri" w:cs="Calibri"/>
          <w:b/>
          <w:bCs/>
          <w:sz w:val="22"/>
          <w:szCs w:val="22"/>
        </w:rPr>
        <w:t xml:space="preserve">Proposed reserved matters scheme: </w:t>
      </w:r>
    </w:p>
    <w:p w14:paraId="12C082BF" w14:textId="07EE74E6" w:rsidR="004F6B39" w:rsidRPr="009059C4" w:rsidRDefault="009059C4" w:rsidP="004F6B39">
      <w:pPr>
        <w:jc w:val="both"/>
        <w:rPr>
          <w:rFonts w:ascii="Calibri" w:hAnsi="Calibri" w:cs="Calibri"/>
          <w:sz w:val="22"/>
          <w:szCs w:val="22"/>
        </w:rPr>
      </w:pPr>
      <w:r>
        <w:rPr>
          <w:rFonts w:ascii="Calibri" w:hAnsi="Calibri" w:cs="Calibri"/>
          <w:sz w:val="22"/>
          <w:szCs w:val="22"/>
        </w:rPr>
        <w:t>The reserved matters scheme has been designed to reflect on the response set out by the Planning Inspector</w:t>
      </w:r>
      <w:r w:rsidR="00BC3C19">
        <w:rPr>
          <w:rFonts w:ascii="Calibri" w:hAnsi="Calibri" w:cs="Calibri"/>
          <w:sz w:val="22"/>
          <w:szCs w:val="22"/>
        </w:rPr>
        <w:t>. W</w:t>
      </w:r>
      <w:r>
        <w:rPr>
          <w:rFonts w:ascii="Calibri" w:hAnsi="Calibri" w:cs="Calibri"/>
          <w:sz w:val="22"/>
          <w:szCs w:val="22"/>
        </w:rPr>
        <w:t xml:space="preserve">ith regards to the proposed layout, this is more urbanised than Phase 1 which was highlighted as an issued at pre-application stage. However, </w:t>
      </w:r>
      <w:r w:rsidR="004F6B39" w:rsidRPr="009059C4">
        <w:rPr>
          <w:rFonts w:ascii="Calibri" w:hAnsi="Calibri" w:cs="Calibri"/>
          <w:sz w:val="22"/>
          <w:szCs w:val="22"/>
        </w:rPr>
        <w:t xml:space="preserve">justification for the perimeter block design is </w:t>
      </w:r>
      <w:r w:rsidRPr="009059C4">
        <w:rPr>
          <w:rFonts w:ascii="Calibri" w:hAnsi="Calibri" w:cs="Calibri"/>
          <w:sz w:val="22"/>
          <w:szCs w:val="22"/>
        </w:rPr>
        <w:t xml:space="preserve">to limit the residential dwellings from </w:t>
      </w:r>
      <w:r w:rsidR="004F6B39" w:rsidRPr="009059C4">
        <w:rPr>
          <w:rFonts w:ascii="Calibri" w:hAnsi="Calibri" w:cs="Calibri"/>
          <w:sz w:val="22"/>
          <w:szCs w:val="22"/>
        </w:rPr>
        <w:t>noise arising from the industrial units to the northwest</w:t>
      </w:r>
      <w:r>
        <w:rPr>
          <w:rFonts w:ascii="Calibri" w:hAnsi="Calibri" w:cs="Calibri"/>
          <w:sz w:val="22"/>
          <w:szCs w:val="22"/>
        </w:rPr>
        <w:t xml:space="preserve"> and the inclusion of a generous portion of open space and landscape buffering. </w:t>
      </w:r>
    </w:p>
    <w:p w14:paraId="32D3346C" w14:textId="50EAD0C8" w:rsidR="004F6B39" w:rsidRPr="009059C4" w:rsidRDefault="004F6B39" w:rsidP="004F6B39">
      <w:pPr>
        <w:jc w:val="both"/>
        <w:rPr>
          <w:rFonts w:ascii="Calibri" w:hAnsi="Calibri" w:cs="Calibri"/>
          <w:sz w:val="22"/>
          <w:szCs w:val="22"/>
        </w:rPr>
      </w:pPr>
      <w:r w:rsidRPr="009059C4">
        <w:rPr>
          <w:rFonts w:ascii="Calibri" w:hAnsi="Calibri" w:cs="Calibri"/>
          <w:sz w:val="22"/>
          <w:szCs w:val="22"/>
        </w:rPr>
        <w:t xml:space="preserve">Full details of housing types have </w:t>
      </w:r>
      <w:r w:rsidR="00E114B9">
        <w:rPr>
          <w:rFonts w:ascii="Calibri" w:hAnsi="Calibri" w:cs="Calibri"/>
          <w:sz w:val="22"/>
          <w:szCs w:val="22"/>
        </w:rPr>
        <w:t xml:space="preserve">been submitted with the application. </w:t>
      </w:r>
      <w:r w:rsidRPr="009059C4">
        <w:rPr>
          <w:rFonts w:ascii="Calibri" w:hAnsi="Calibri" w:cs="Calibri"/>
          <w:sz w:val="22"/>
          <w:szCs w:val="22"/>
        </w:rPr>
        <w:t xml:space="preserve">A number of housing types/designs have been proposed, which draw from a shared palette of </w:t>
      </w:r>
      <w:r w:rsidR="00E114B9">
        <w:rPr>
          <w:rFonts w:ascii="Calibri" w:hAnsi="Calibri" w:cs="Calibri"/>
          <w:sz w:val="22"/>
          <w:szCs w:val="22"/>
        </w:rPr>
        <w:t xml:space="preserve">traditional style </w:t>
      </w:r>
      <w:r w:rsidRPr="009059C4">
        <w:rPr>
          <w:rFonts w:ascii="Calibri" w:hAnsi="Calibri" w:cs="Calibri"/>
          <w:sz w:val="22"/>
          <w:szCs w:val="22"/>
        </w:rPr>
        <w:t xml:space="preserve">materials and architectural features including chimneys, bricked up windows to break up blank elevations, buttresses, herringbone brickwork panels and timber cladding. </w:t>
      </w:r>
    </w:p>
    <w:p w14:paraId="6B8EEA86" w14:textId="4AE269C8" w:rsidR="004F6B39" w:rsidRDefault="00E114B9" w:rsidP="004F6B39">
      <w:pPr>
        <w:jc w:val="both"/>
        <w:rPr>
          <w:rFonts w:ascii="Calibri" w:hAnsi="Calibri" w:cs="Calibri"/>
          <w:sz w:val="22"/>
          <w:szCs w:val="22"/>
        </w:rPr>
      </w:pPr>
      <w:r>
        <w:rPr>
          <w:rFonts w:ascii="Calibri" w:hAnsi="Calibri" w:cs="Calibri"/>
          <w:sz w:val="22"/>
          <w:szCs w:val="22"/>
        </w:rPr>
        <w:t xml:space="preserve">This design approach is very similar to the Phase 1 development, where it is evident that this works well and has </w:t>
      </w:r>
      <w:r w:rsidR="004F6B39" w:rsidRPr="009059C4">
        <w:rPr>
          <w:rFonts w:ascii="Calibri" w:hAnsi="Calibri" w:cs="Calibri"/>
          <w:sz w:val="22"/>
          <w:szCs w:val="22"/>
        </w:rPr>
        <w:t>result</w:t>
      </w:r>
      <w:r>
        <w:rPr>
          <w:rFonts w:ascii="Calibri" w:hAnsi="Calibri" w:cs="Calibri"/>
          <w:sz w:val="22"/>
          <w:szCs w:val="22"/>
        </w:rPr>
        <w:t>ed</w:t>
      </w:r>
      <w:r w:rsidR="004F6B39" w:rsidRPr="009059C4">
        <w:rPr>
          <w:rFonts w:ascii="Calibri" w:hAnsi="Calibri" w:cs="Calibri"/>
          <w:sz w:val="22"/>
          <w:szCs w:val="22"/>
        </w:rPr>
        <w:t xml:space="preserve"> in high quality, interesting new housing</w:t>
      </w:r>
      <w:r>
        <w:rPr>
          <w:rFonts w:ascii="Calibri" w:hAnsi="Calibri" w:cs="Calibri"/>
          <w:sz w:val="22"/>
          <w:szCs w:val="22"/>
        </w:rPr>
        <w:t>, with high quality boundary treatments,</w:t>
      </w:r>
      <w:r w:rsidR="004F6B39" w:rsidRPr="009059C4">
        <w:rPr>
          <w:rFonts w:ascii="Calibri" w:hAnsi="Calibri" w:cs="Calibri"/>
          <w:sz w:val="22"/>
          <w:szCs w:val="22"/>
        </w:rPr>
        <w:t xml:space="preserve"> which draws from the local context of an edge of settlement, semi-rural setting. </w:t>
      </w:r>
    </w:p>
    <w:p w14:paraId="12ED3A8B" w14:textId="49796F91" w:rsidR="00E114B9" w:rsidRDefault="00E114B9" w:rsidP="004F6B39">
      <w:pPr>
        <w:jc w:val="both"/>
        <w:rPr>
          <w:rFonts w:ascii="Calibri" w:hAnsi="Calibri" w:cs="Calibri"/>
          <w:b/>
          <w:bCs/>
          <w:sz w:val="22"/>
          <w:szCs w:val="22"/>
        </w:rPr>
      </w:pPr>
      <w:r w:rsidRPr="00E114B9">
        <w:rPr>
          <w:rFonts w:ascii="Calibri" w:hAnsi="Calibri" w:cs="Calibri"/>
          <w:b/>
          <w:bCs/>
          <w:sz w:val="22"/>
          <w:szCs w:val="22"/>
        </w:rPr>
        <w:t xml:space="preserve">Narrow Marsh Lane: </w:t>
      </w:r>
    </w:p>
    <w:p w14:paraId="2693A3E1" w14:textId="5C25DF4F" w:rsidR="00E114B9" w:rsidRPr="00E114B9" w:rsidRDefault="00E114B9" w:rsidP="004F6B39">
      <w:pPr>
        <w:jc w:val="both"/>
        <w:rPr>
          <w:rFonts w:ascii="Calibri" w:hAnsi="Calibri" w:cs="Calibri"/>
          <w:sz w:val="22"/>
          <w:szCs w:val="22"/>
        </w:rPr>
      </w:pPr>
      <w:r>
        <w:rPr>
          <w:rFonts w:ascii="Calibri" w:hAnsi="Calibri" w:cs="Calibri"/>
          <w:sz w:val="22"/>
          <w:szCs w:val="22"/>
        </w:rPr>
        <w:t xml:space="preserve">An objection has been raised </w:t>
      </w:r>
      <w:r w:rsidR="00BC3C19">
        <w:rPr>
          <w:rFonts w:ascii="Calibri" w:hAnsi="Calibri" w:cs="Calibri"/>
          <w:sz w:val="22"/>
          <w:szCs w:val="22"/>
        </w:rPr>
        <w:t xml:space="preserve">against the failure to address the impacts of the proposals on heritage and landscape settings, in particular, a historic route southeast of the Phase 1 and 2 sites, known as Narrow Marsh Lane. This feature is outside the red line for Phase 2 and does not form part of this application, which is likely the reason for its non-inclusion within the heritage statement for the application.  Nonetheless, it is an important local historic feature, and it is therefore advised that the </w:t>
      </w:r>
      <w:r w:rsidR="00BC3C19">
        <w:rPr>
          <w:rFonts w:ascii="Calibri" w:hAnsi="Calibri" w:cs="Calibri"/>
          <w:sz w:val="22"/>
          <w:szCs w:val="22"/>
        </w:rPr>
        <w:lastRenderedPageBreak/>
        <w:t xml:space="preserve">applicants should reinstate this path, following the completion of construction works, as an amenity for the local residents. </w:t>
      </w:r>
    </w:p>
    <w:p w14:paraId="025AD1F2" w14:textId="77A10D09" w:rsidR="00E114B9" w:rsidRPr="00E114B9" w:rsidRDefault="00E114B9" w:rsidP="004F6B39">
      <w:pPr>
        <w:jc w:val="both"/>
        <w:rPr>
          <w:rFonts w:ascii="Calibri" w:hAnsi="Calibri" w:cs="Calibri"/>
          <w:b/>
          <w:bCs/>
          <w:sz w:val="22"/>
          <w:szCs w:val="22"/>
        </w:rPr>
      </w:pPr>
      <w:r w:rsidRPr="00E114B9">
        <w:rPr>
          <w:rFonts w:ascii="Calibri" w:hAnsi="Calibri" w:cs="Calibri"/>
          <w:b/>
          <w:bCs/>
          <w:sz w:val="22"/>
          <w:szCs w:val="22"/>
        </w:rPr>
        <w:t xml:space="preserve">Summary: </w:t>
      </w:r>
    </w:p>
    <w:p w14:paraId="37C19567" w14:textId="35645EA2" w:rsidR="00F71C70" w:rsidRDefault="00E114B9" w:rsidP="004F6B39">
      <w:pPr>
        <w:jc w:val="both"/>
        <w:rPr>
          <w:rFonts w:ascii="Calibri" w:hAnsi="Calibri" w:cs="Calibri"/>
          <w:sz w:val="22"/>
          <w:szCs w:val="22"/>
        </w:rPr>
      </w:pPr>
      <w:r>
        <w:rPr>
          <w:rFonts w:ascii="Calibri" w:hAnsi="Calibri" w:cs="Calibri"/>
          <w:sz w:val="22"/>
          <w:szCs w:val="22"/>
        </w:rPr>
        <w:t xml:space="preserve">The proposal would result in less than substantial harm to </w:t>
      </w:r>
      <w:r w:rsidR="00F71C70">
        <w:rPr>
          <w:rFonts w:ascii="Calibri" w:hAnsi="Calibri" w:cs="Calibri"/>
          <w:sz w:val="22"/>
          <w:szCs w:val="22"/>
        </w:rPr>
        <w:t xml:space="preserve">the setting and significance of </w:t>
      </w:r>
      <w:r>
        <w:rPr>
          <w:rFonts w:ascii="Calibri" w:hAnsi="Calibri" w:cs="Calibri"/>
          <w:sz w:val="22"/>
          <w:szCs w:val="22"/>
        </w:rPr>
        <w:t xml:space="preserve">Character Area 5 of the Old Bedhampton Conservation Area. </w:t>
      </w:r>
    </w:p>
    <w:p w14:paraId="3901C37D" w14:textId="231D57E4" w:rsidR="00BC3C19" w:rsidRDefault="00E114B9" w:rsidP="004F6B39">
      <w:pPr>
        <w:jc w:val="both"/>
        <w:rPr>
          <w:rFonts w:ascii="Calibri" w:hAnsi="Calibri" w:cs="Calibri"/>
          <w:sz w:val="22"/>
          <w:szCs w:val="22"/>
        </w:rPr>
      </w:pPr>
      <w:r>
        <w:rPr>
          <w:rFonts w:ascii="Calibri" w:hAnsi="Calibri" w:cs="Calibri"/>
          <w:sz w:val="22"/>
          <w:szCs w:val="22"/>
        </w:rPr>
        <w:t xml:space="preserve">However, this level of harm is reduced by some degree to </w:t>
      </w:r>
      <w:r w:rsidR="00BC3C19">
        <w:rPr>
          <w:rFonts w:ascii="Calibri" w:hAnsi="Calibri" w:cs="Calibri"/>
          <w:sz w:val="22"/>
          <w:szCs w:val="22"/>
        </w:rPr>
        <w:t>‘</w:t>
      </w:r>
      <w:r>
        <w:rPr>
          <w:rFonts w:ascii="Calibri" w:hAnsi="Calibri" w:cs="Calibri"/>
          <w:sz w:val="22"/>
          <w:szCs w:val="22"/>
        </w:rPr>
        <w:t>low</w:t>
      </w:r>
      <w:r w:rsidR="00BC3C19">
        <w:rPr>
          <w:rFonts w:ascii="Calibri" w:hAnsi="Calibri" w:cs="Calibri"/>
          <w:sz w:val="22"/>
          <w:szCs w:val="22"/>
        </w:rPr>
        <w:t>’</w:t>
      </w:r>
      <w:r>
        <w:rPr>
          <w:rFonts w:ascii="Calibri" w:hAnsi="Calibri" w:cs="Calibri"/>
          <w:sz w:val="22"/>
          <w:szCs w:val="22"/>
        </w:rPr>
        <w:t xml:space="preserve"> on the spectrum, due to the proposed scheme comprising a cohesive, high-quality development, which is respectful of its context within the conservation area and semi-rural setting. </w:t>
      </w:r>
    </w:p>
    <w:p w14:paraId="17470154" w14:textId="13B56A9B" w:rsidR="00E114B9" w:rsidRPr="009059C4" w:rsidRDefault="00BC3C19" w:rsidP="004F6B39">
      <w:pPr>
        <w:jc w:val="both"/>
        <w:rPr>
          <w:rFonts w:ascii="Calibri" w:hAnsi="Calibri" w:cs="Calibri"/>
          <w:sz w:val="22"/>
          <w:szCs w:val="22"/>
        </w:rPr>
      </w:pPr>
      <w:r>
        <w:rPr>
          <w:rFonts w:ascii="Calibri" w:hAnsi="Calibri" w:cs="Calibri"/>
          <w:sz w:val="22"/>
          <w:szCs w:val="22"/>
        </w:rPr>
        <w:t xml:space="preserve">As per advice in the NPPF, the level of harm to the designated heritage asset, must be weighed up against the public benefits of the scheme. </w:t>
      </w:r>
    </w:p>
    <w:sectPr w:rsidR="00E114B9" w:rsidRPr="009059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9D1D8D"/>
    <w:multiLevelType w:val="hybridMultilevel"/>
    <w:tmpl w:val="9188B6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8AE202A"/>
    <w:multiLevelType w:val="hybridMultilevel"/>
    <w:tmpl w:val="1F4AB8F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7C32F28"/>
    <w:multiLevelType w:val="hybridMultilevel"/>
    <w:tmpl w:val="C5921166"/>
    <w:lvl w:ilvl="0" w:tplc="7AC6A10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BB50ACD"/>
    <w:multiLevelType w:val="hybridMultilevel"/>
    <w:tmpl w:val="9F481D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11923702">
    <w:abstractNumId w:val="0"/>
  </w:num>
  <w:num w:numId="2" w16cid:durableId="751972753">
    <w:abstractNumId w:val="3"/>
  </w:num>
  <w:num w:numId="3" w16cid:durableId="1809206664">
    <w:abstractNumId w:val="1"/>
  </w:num>
  <w:num w:numId="4" w16cid:durableId="21069204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D34"/>
    <w:rsid w:val="00003B6E"/>
    <w:rsid w:val="00023651"/>
    <w:rsid w:val="000B3B84"/>
    <w:rsid w:val="000C1BA8"/>
    <w:rsid w:val="00136C77"/>
    <w:rsid w:val="00214695"/>
    <w:rsid w:val="0025513C"/>
    <w:rsid w:val="002A25D7"/>
    <w:rsid w:val="002D7F26"/>
    <w:rsid w:val="002E5E23"/>
    <w:rsid w:val="002F6E50"/>
    <w:rsid w:val="0033167B"/>
    <w:rsid w:val="00343DA8"/>
    <w:rsid w:val="00474EE8"/>
    <w:rsid w:val="00493D1E"/>
    <w:rsid w:val="004C6E91"/>
    <w:rsid w:val="004E41DC"/>
    <w:rsid w:val="004F6B39"/>
    <w:rsid w:val="005225AA"/>
    <w:rsid w:val="0055452E"/>
    <w:rsid w:val="00580A86"/>
    <w:rsid w:val="005A2565"/>
    <w:rsid w:val="00616599"/>
    <w:rsid w:val="00767FF8"/>
    <w:rsid w:val="00797985"/>
    <w:rsid w:val="00882964"/>
    <w:rsid w:val="009059C4"/>
    <w:rsid w:val="009070B4"/>
    <w:rsid w:val="009369E8"/>
    <w:rsid w:val="00970669"/>
    <w:rsid w:val="009769E7"/>
    <w:rsid w:val="00985F88"/>
    <w:rsid w:val="009B1742"/>
    <w:rsid w:val="00A12890"/>
    <w:rsid w:val="00A30910"/>
    <w:rsid w:val="00A52F89"/>
    <w:rsid w:val="00A75182"/>
    <w:rsid w:val="00A93B74"/>
    <w:rsid w:val="00B12D34"/>
    <w:rsid w:val="00B374C1"/>
    <w:rsid w:val="00BC03D2"/>
    <w:rsid w:val="00BC3C19"/>
    <w:rsid w:val="00BD4837"/>
    <w:rsid w:val="00C12ECA"/>
    <w:rsid w:val="00C319BF"/>
    <w:rsid w:val="00C37ED6"/>
    <w:rsid w:val="00CD18F5"/>
    <w:rsid w:val="00D132BD"/>
    <w:rsid w:val="00D376DF"/>
    <w:rsid w:val="00E114B9"/>
    <w:rsid w:val="00E2306E"/>
    <w:rsid w:val="00E439DC"/>
    <w:rsid w:val="00F71C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8D60F"/>
  <w15:chartTrackingRefBased/>
  <w15:docId w15:val="{539CBEC6-EC35-4B2A-AED6-E5F1C7F3E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2D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2D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2D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2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2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2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2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2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2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2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2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2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2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2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2D34"/>
    <w:rPr>
      <w:rFonts w:eastAsiaTheme="majorEastAsia" w:cstheme="majorBidi"/>
      <w:color w:val="272727" w:themeColor="text1" w:themeTint="D8"/>
    </w:rPr>
  </w:style>
  <w:style w:type="paragraph" w:styleId="Title">
    <w:name w:val="Title"/>
    <w:basedOn w:val="Normal"/>
    <w:next w:val="Normal"/>
    <w:link w:val="TitleChar"/>
    <w:uiPriority w:val="10"/>
    <w:qFormat/>
    <w:rsid w:val="00B12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D34"/>
    <w:pPr>
      <w:spacing w:before="160"/>
      <w:jc w:val="center"/>
    </w:pPr>
    <w:rPr>
      <w:i/>
      <w:iCs/>
      <w:color w:val="404040" w:themeColor="text1" w:themeTint="BF"/>
    </w:rPr>
  </w:style>
  <w:style w:type="character" w:customStyle="1" w:styleId="QuoteChar">
    <w:name w:val="Quote Char"/>
    <w:basedOn w:val="DefaultParagraphFont"/>
    <w:link w:val="Quote"/>
    <w:uiPriority w:val="29"/>
    <w:rsid w:val="00B12D34"/>
    <w:rPr>
      <w:i/>
      <w:iCs/>
      <w:color w:val="404040" w:themeColor="text1" w:themeTint="BF"/>
    </w:rPr>
  </w:style>
  <w:style w:type="paragraph" w:styleId="ListParagraph">
    <w:name w:val="List Paragraph"/>
    <w:basedOn w:val="Normal"/>
    <w:uiPriority w:val="34"/>
    <w:qFormat/>
    <w:rsid w:val="00B12D34"/>
    <w:pPr>
      <w:ind w:left="720"/>
      <w:contextualSpacing/>
    </w:pPr>
  </w:style>
  <w:style w:type="character" w:styleId="IntenseEmphasis">
    <w:name w:val="Intense Emphasis"/>
    <w:basedOn w:val="DefaultParagraphFont"/>
    <w:uiPriority w:val="21"/>
    <w:qFormat/>
    <w:rsid w:val="00B12D34"/>
    <w:rPr>
      <w:i/>
      <w:iCs/>
      <w:color w:val="0F4761" w:themeColor="accent1" w:themeShade="BF"/>
    </w:rPr>
  </w:style>
  <w:style w:type="paragraph" w:styleId="IntenseQuote">
    <w:name w:val="Intense Quote"/>
    <w:basedOn w:val="Normal"/>
    <w:next w:val="Normal"/>
    <w:link w:val="IntenseQuoteChar"/>
    <w:uiPriority w:val="30"/>
    <w:qFormat/>
    <w:rsid w:val="00B12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2D34"/>
    <w:rPr>
      <w:i/>
      <w:iCs/>
      <w:color w:val="0F4761" w:themeColor="accent1" w:themeShade="BF"/>
    </w:rPr>
  </w:style>
  <w:style w:type="character" w:styleId="IntenseReference">
    <w:name w:val="Intense Reference"/>
    <w:basedOn w:val="DefaultParagraphFont"/>
    <w:uiPriority w:val="32"/>
    <w:qFormat/>
    <w:rsid w:val="00B12D34"/>
    <w:rPr>
      <w:b/>
      <w:bCs/>
      <w:smallCaps/>
      <w:color w:val="0F4761" w:themeColor="accent1" w:themeShade="BF"/>
      <w:spacing w:val="5"/>
    </w:rPr>
  </w:style>
  <w:style w:type="paragraph" w:customStyle="1" w:styleId="Normal0">
    <w:name w:val="[Normal]"/>
    <w:rsid w:val="00970669"/>
    <w:pPr>
      <w:autoSpaceDE w:val="0"/>
      <w:autoSpaceDN w:val="0"/>
      <w:adjustRightInd w:val="0"/>
      <w:spacing w:after="0" w:line="240" w:lineRule="auto"/>
    </w:pPr>
    <w:rPr>
      <w:rFonts w:ascii="Arial" w:hAnsi="Arial" w:cs="Arial"/>
      <w:kern w:val="0"/>
    </w:rPr>
  </w:style>
  <w:style w:type="paragraph" w:styleId="NormalWeb">
    <w:name w:val="Normal (Web)"/>
    <w:basedOn w:val="Normal"/>
    <w:uiPriority w:val="99"/>
    <w:unhideWhenUsed/>
    <w:rsid w:val="00E2306E"/>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B78FD-AF5D-4246-843D-CE3587633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5</Pages>
  <Words>1675</Words>
  <Characters>9552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McMurray</dc:creator>
  <cp:keywords/>
  <dc:description/>
  <cp:lastModifiedBy>McMurray, Rachael</cp:lastModifiedBy>
  <cp:revision>8</cp:revision>
  <dcterms:created xsi:type="dcterms:W3CDTF">2024-10-04T11:20:00Z</dcterms:created>
  <dcterms:modified xsi:type="dcterms:W3CDTF">2024-10-07T11:17:00Z</dcterms:modified>
</cp:coreProperties>
</file>