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948F4C" w14:textId="77777777" w:rsidR="00F91FE6" w:rsidRPr="009327D6" w:rsidRDefault="00F91FE6" w:rsidP="00852456">
      <w:pPr>
        <w:jc w:val="both"/>
        <w:rPr>
          <w:rFonts w:cstheme="minorHAnsi"/>
          <w:b/>
          <w:u w:val="single"/>
        </w:rPr>
      </w:pPr>
      <w:r w:rsidRPr="009327D6">
        <w:rPr>
          <w:rFonts w:cstheme="minorHAnsi"/>
          <w:b/>
          <w:u w:val="single"/>
        </w:rPr>
        <w:t xml:space="preserve">Heritage Team Response </w:t>
      </w:r>
    </w:p>
    <w:p w14:paraId="414A1E9E" w14:textId="313E7745" w:rsidR="00F91FE6" w:rsidRPr="009327D6" w:rsidRDefault="00F91FE6" w:rsidP="00852456">
      <w:pPr>
        <w:jc w:val="both"/>
        <w:rPr>
          <w:rFonts w:cstheme="minorHAnsi"/>
          <w:b/>
          <w:u w:val="single"/>
        </w:rPr>
      </w:pPr>
      <w:r w:rsidRPr="009327D6">
        <w:rPr>
          <w:rFonts w:cstheme="minorHAnsi"/>
          <w:b/>
          <w:u w:val="single"/>
        </w:rPr>
        <w:t xml:space="preserve">Date – </w:t>
      </w:r>
      <w:r w:rsidR="009D35AB">
        <w:rPr>
          <w:rFonts w:cstheme="minorHAnsi"/>
          <w:b/>
          <w:u w:val="single"/>
        </w:rPr>
        <w:t>15/4/2024</w:t>
      </w:r>
    </w:p>
    <w:p w14:paraId="53855C3A" w14:textId="1D2DE1EE" w:rsidR="00852456" w:rsidRDefault="00F86F4B" w:rsidP="00852456">
      <w:pPr>
        <w:jc w:val="both"/>
        <w:rPr>
          <w:rFonts w:cstheme="minorHAnsi"/>
          <w:b/>
          <w:u w:val="single"/>
        </w:rPr>
      </w:pPr>
      <w:r>
        <w:rPr>
          <w:rFonts w:cstheme="minorHAnsi"/>
          <w:b/>
          <w:u w:val="single"/>
        </w:rPr>
        <w:t>APP/2</w:t>
      </w:r>
      <w:r w:rsidR="009D35AB">
        <w:rPr>
          <w:rFonts w:cstheme="minorHAnsi"/>
          <w:b/>
          <w:u w:val="single"/>
        </w:rPr>
        <w:t>4</w:t>
      </w:r>
      <w:r>
        <w:rPr>
          <w:rFonts w:cstheme="minorHAnsi"/>
          <w:b/>
          <w:u w:val="single"/>
        </w:rPr>
        <w:t>/</w:t>
      </w:r>
      <w:r w:rsidR="00123301">
        <w:rPr>
          <w:rFonts w:cstheme="minorHAnsi"/>
          <w:b/>
          <w:u w:val="single"/>
        </w:rPr>
        <w:t>00</w:t>
      </w:r>
      <w:r w:rsidR="009D35AB">
        <w:rPr>
          <w:rFonts w:cstheme="minorHAnsi"/>
          <w:b/>
          <w:u w:val="single"/>
        </w:rPr>
        <w:t>101</w:t>
      </w:r>
      <w:r w:rsidR="003F414D">
        <w:rPr>
          <w:rFonts w:cstheme="minorHAnsi"/>
          <w:b/>
          <w:u w:val="single"/>
        </w:rPr>
        <w:t xml:space="preserve"> and </w:t>
      </w:r>
      <w:r w:rsidR="009D35AB">
        <w:rPr>
          <w:rFonts w:cstheme="minorHAnsi"/>
          <w:b/>
          <w:u w:val="single"/>
        </w:rPr>
        <w:t>APP/24/00102</w:t>
      </w:r>
      <w:r w:rsidR="007E1687">
        <w:rPr>
          <w:rFonts w:cstheme="minorHAnsi"/>
          <w:b/>
          <w:u w:val="single"/>
        </w:rPr>
        <w:t xml:space="preserve"> – 30 King Street, </w:t>
      </w:r>
      <w:r w:rsidR="00DA19B4">
        <w:rPr>
          <w:rFonts w:cstheme="minorHAnsi"/>
          <w:b/>
          <w:u w:val="single"/>
        </w:rPr>
        <w:t xml:space="preserve">Emsworth </w:t>
      </w:r>
      <w:r w:rsidR="00852456" w:rsidRPr="009327D6">
        <w:rPr>
          <w:rFonts w:cstheme="minorHAnsi"/>
          <w:b/>
          <w:u w:val="single"/>
        </w:rPr>
        <w:t xml:space="preserve"> </w:t>
      </w:r>
    </w:p>
    <w:p w14:paraId="074D5120" w14:textId="0C8CC6D2" w:rsidR="00F86F4B" w:rsidRDefault="00F86F4B" w:rsidP="00F86F4B">
      <w:pPr>
        <w:jc w:val="both"/>
        <w:rPr>
          <w:rFonts w:cstheme="minorHAnsi"/>
          <w:b/>
          <w:u w:val="single"/>
        </w:rPr>
      </w:pPr>
      <w:r w:rsidRPr="009327D6">
        <w:rPr>
          <w:rFonts w:cstheme="minorHAnsi"/>
          <w:b/>
          <w:u w:val="single"/>
        </w:rPr>
        <w:t>Background</w:t>
      </w:r>
    </w:p>
    <w:p w14:paraId="15B1459F" w14:textId="12804BCC" w:rsidR="007E1687" w:rsidRPr="002D0D6B" w:rsidRDefault="009F782C" w:rsidP="007E1687">
      <w:pPr>
        <w:jc w:val="both"/>
      </w:pPr>
      <w:r>
        <w:t xml:space="preserve">The application site </w:t>
      </w:r>
      <w:r w:rsidR="007E1687">
        <w:t>is known as Wharf House and is located on King Street in Emsworth. Wharf House is a large, three-storey detached dwelling which due to its historic and architectural interest, is Grade II listed. It has a brick boundary wall which forms the boundary along King Street and curves round the perimeter of the garden. Part of this boundary is shared with the access road for No’s 32 and 34.  A section of the wall onto King Street ha</w:t>
      </w:r>
      <w:r w:rsidR="009D35AB">
        <w:t xml:space="preserve">d </w:t>
      </w:r>
      <w:r w:rsidR="007E1687">
        <w:t>collapsed due to structural faults</w:t>
      </w:r>
      <w:r w:rsidR="009D35AB">
        <w:t xml:space="preserve"> and has been rebuilt under planning approvals APP/23/00172 and APP/23/00173. However, the rebuild design of the wall differs from that of the approval as it includes a small ramp and two planting areas. The brick used is the brick agreed under the previous </w:t>
      </w:r>
      <w:r w:rsidR="00913F22">
        <w:t xml:space="preserve">consents. </w:t>
      </w:r>
    </w:p>
    <w:p w14:paraId="09E9DCD0" w14:textId="77777777" w:rsidR="00F86F4B" w:rsidRPr="0079518A" w:rsidRDefault="00F86F4B" w:rsidP="00F86F4B">
      <w:pPr>
        <w:jc w:val="both"/>
        <w:rPr>
          <w:rFonts w:cstheme="minorHAnsi"/>
          <w:b/>
          <w:bCs/>
          <w:u w:val="single"/>
        </w:rPr>
      </w:pPr>
      <w:r w:rsidRPr="009327D6">
        <w:rPr>
          <w:rFonts w:cstheme="minorHAnsi"/>
          <w:b/>
          <w:bCs/>
          <w:u w:val="single"/>
        </w:rPr>
        <w:t>Proposal</w:t>
      </w:r>
    </w:p>
    <w:p w14:paraId="76BA6D19" w14:textId="6EAD5BBB" w:rsidR="007E1687" w:rsidRPr="00913F22" w:rsidRDefault="00913F22" w:rsidP="00913F22">
      <w:pPr>
        <w:pStyle w:val="Normal0"/>
        <w:rPr>
          <w:sz w:val="22"/>
          <w:szCs w:val="22"/>
        </w:rPr>
      </w:pPr>
      <w:r>
        <w:rPr>
          <w:sz w:val="22"/>
          <w:szCs w:val="22"/>
        </w:rPr>
        <w:t xml:space="preserve">Proposed ramp and raised planters (retrospective application) </w:t>
      </w:r>
    </w:p>
    <w:p w14:paraId="1ABE498A" w14:textId="1117F7C5" w:rsidR="00D36325" w:rsidRDefault="00D36325" w:rsidP="00F86F4B">
      <w:pPr>
        <w:autoSpaceDE w:val="0"/>
        <w:autoSpaceDN w:val="0"/>
        <w:adjustRightInd w:val="0"/>
        <w:spacing w:after="0" w:line="240" w:lineRule="auto"/>
        <w:rPr>
          <w:rFonts w:cstheme="minorHAnsi"/>
        </w:rPr>
      </w:pPr>
    </w:p>
    <w:p w14:paraId="4C86CEDC" w14:textId="77777777" w:rsidR="007A35EF" w:rsidRPr="00D36325" w:rsidRDefault="007A35EF" w:rsidP="007A35EF">
      <w:pPr>
        <w:jc w:val="both"/>
        <w:rPr>
          <w:b/>
          <w:u w:val="single"/>
        </w:rPr>
      </w:pPr>
      <w:r w:rsidRPr="00D36325">
        <w:rPr>
          <w:b/>
          <w:u w:val="single"/>
        </w:rPr>
        <w:t xml:space="preserve">Legislative and Policy Context: </w:t>
      </w:r>
    </w:p>
    <w:p w14:paraId="6ABAB3E6" w14:textId="77777777" w:rsidR="007A35EF" w:rsidRPr="00A074B9" w:rsidRDefault="007A35EF" w:rsidP="007A35EF">
      <w:pPr>
        <w:jc w:val="both"/>
      </w:pPr>
      <w:r w:rsidRPr="00673AA1">
        <w:t xml:space="preserve">When assessing the proposal, the following legislation and policy context is taken in consideration. </w:t>
      </w:r>
    </w:p>
    <w:p w14:paraId="17946090" w14:textId="77777777" w:rsidR="007A35EF" w:rsidRPr="00745AC2" w:rsidRDefault="007A35EF" w:rsidP="007A35EF">
      <w:pPr>
        <w:rPr>
          <w:rFonts w:cstheme="minorHAnsi"/>
          <w:u w:val="single"/>
        </w:rPr>
      </w:pPr>
      <w:r w:rsidRPr="00745AC2">
        <w:rPr>
          <w:rFonts w:cstheme="minorHAnsi"/>
        </w:rPr>
        <w:t>Section 16 of the Planning (Listed Buildings and Conservation Areas) Act 1990 ("1990 Act") requires local planning authorities to have special regard to the desirability of preserving a listed building, its setting or any features of special architectural or historic interest when considering whether to grant listed building consent.</w:t>
      </w:r>
    </w:p>
    <w:p w14:paraId="32493E45" w14:textId="34067458" w:rsidR="007A35EF" w:rsidRDefault="007A35EF" w:rsidP="007A35EF">
      <w:pPr>
        <w:autoSpaceDE w:val="0"/>
        <w:autoSpaceDN w:val="0"/>
        <w:adjustRightInd w:val="0"/>
        <w:jc w:val="both"/>
        <w:rPr>
          <w:rFonts w:eastAsia="ArialMT" w:cstheme="minorHAnsi"/>
        </w:rPr>
      </w:pPr>
      <w:r w:rsidRPr="00745AC2">
        <w:rPr>
          <w:rFonts w:eastAsia="ArialMT" w:cstheme="minorHAnsi"/>
        </w:rPr>
        <w:t>Section 66 of the Planning (Listed Buildings and Conservation Areas) Act 1990 requires planning authorities, when considering whether to grant planning permission for development which affects a listed building or its setting, to have special regard to the desirability of preserving the building or its setting or any features of special architectural or historic interest which it possesses.</w:t>
      </w:r>
    </w:p>
    <w:p w14:paraId="76AA1EAB" w14:textId="363F8C9B" w:rsidR="009B56E1" w:rsidRPr="009B56E1" w:rsidRDefault="009B56E1" w:rsidP="009B56E1">
      <w:pPr>
        <w:jc w:val="both"/>
      </w:pPr>
      <w:r w:rsidRPr="00673AA1">
        <w:t>Section 72 of the Planning (Listed Buildings and Conservation Areas) Act 1990 requires planning authorities, when considering whether to grant planning permission for development which affects a Conservation Area, to have special regard to the desirability of preserving or enhancing the character and appearance of that area.</w:t>
      </w:r>
    </w:p>
    <w:p w14:paraId="3EE69B42" w14:textId="77777777" w:rsidR="007A35EF" w:rsidRDefault="007A35EF" w:rsidP="007A35EF">
      <w:pPr>
        <w:autoSpaceDE w:val="0"/>
        <w:autoSpaceDN w:val="0"/>
        <w:adjustRightInd w:val="0"/>
        <w:jc w:val="both"/>
        <w:rPr>
          <w:rFonts w:cstheme="minorHAnsi"/>
        </w:rPr>
      </w:pPr>
      <w:r w:rsidRPr="00745AC2">
        <w:rPr>
          <w:rFonts w:cstheme="minorHAnsi"/>
        </w:rPr>
        <w:t>The need for the decision taker to attach considerable or special weight to the desirability of preserving the setting of listed buildings has been reinforced through two recent high court decisions of: Barnwell Manor Wind Energy Limited vs. East Northamptonshire District Council et al (2014); and North Norfolk District Council vs. DCLG and Mack (2014). The above statute and its subsequent and consistent interpretation in recent high court decision emphasises the need for the policies of the NPPF to be implemented whilst always having regard to the need to give special or greater weight to the preservation of the setting of a listed building.</w:t>
      </w:r>
    </w:p>
    <w:p w14:paraId="2FDF03AD" w14:textId="77777777" w:rsidR="007A35EF" w:rsidRPr="006D5E0B" w:rsidRDefault="007A35EF" w:rsidP="007A35EF">
      <w:pPr>
        <w:autoSpaceDE w:val="0"/>
        <w:autoSpaceDN w:val="0"/>
        <w:adjustRightInd w:val="0"/>
        <w:jc w:val="both"/>
        <w:rPr>
          <w:rFonts w:cstheme="minorHAnsi"/>
          <w:b/>
          <w:bCs/>
        </w:rPr>
      </w:pPr>
      <w:r w:rsidRPr="006D5E0B">
        <w:rPr>
          <w:rFonts w:cstheme="minorHAnsi"/>
          <w:b/>
          <w:bCs/>
        </w:rPr>
        <w:t>NPPF</w:t>
      </w:r>
    </w:p>
    <w:p w14:paraId="199CCF61" w14:textId="4CFA7962" w:rsidR="007A35EF" w:rsidRPr="00314FD1" w:rsidRDefault="007A35EF" w:rsidP="007A35EF">
      <w:pPr>
        <w:jc w:val="both"/>
        <w:rPr>
          <w:rFonts w:cstheme="minorHAnsi"/>
        </w:rPr>
      </w:pPr>
      <w:r w:rsidRPr="00314FD1">
        <w:rPr>
          <w:rFonts w:cstheme="minorHAnsi"/>
        </w:rPr>
        <w:t>The revised NPPF (</w:t>
      </w:r>
      <w:r w:rsidR="005C09E0">
        <w:rPr>
          <w:rFonts w:cstheme="minorHAnsi"/>
        </w:rPr>
        <w:t>December 2023</w:t>
      </w:r>
      <w:r w:rsidRPr="00314FD1">
        <w:rPr>
          <w:rFonts w:cstheme="minorHAnsi"/>
        </w:rPr>
        <w:t>) sets out in Chapter 16, the core principles relating to development affecting Heritage Assets that local planning authorities should consider in making planning decisions in paragraph</w:t>
      </w:r>
      <w:r w:rsidR="005C09E0">
        <w:rPr>
          <w:rFonts w:cstheme="minorHAnsi"/>
        </w:rPr>
        <w:t>s: 195-214</w:t>
      </w:r>
    </w:p>
    <w:p w14:paraId="2DDA4F87" w14:textId="77777777" w:rsidR="007A35EF" w:rsidRPr="006D5E0B" w:rsidRDefault="007A35EF" w:rsidP="007A35EF">
      <w:pPr>
        <w:pStyle w:val="NormalWeb"/>
        <w:shd w:val="clear" w:color="auto" w:fill="FFFFFF"/>
        <w:spacing w:before="300" w:beforeAutospacing="0" w:after="300" w:afterAutospacing="0"/>
        <w:rPr>
          <w:rFonts w:asciiTheme="minorHAnsi" w:hAnsiTheme="minorHAnsi" w:cstheme="minorHAnsi"/>
          <w:b/>
          <w:bCs/>
          <w:color w:val="0B0C0C"/>
          <w:sz w:val="22"/>
          <w:szCs w:val="22"/>
        </w:rPr>
      </w:pPr>
      <w:r w:rsidRPr="006D5E0B">
        <w:rPr>
          <w:rFonts w:asciiTheme="minorHAnsi" w:hAnsiTheme="minorHAnsi" w:cstheme="minorHAnsi"/>
          <w:b/>
          <w:bCs/>
          <w:color w:val="0B0C0C"/>
          <w:sz w:val="22"/>
          <w:szCs w:val="22"/>
        </w:rPr>
        <w:t>Local Plan</w:t>
      </w:r>
    </w:p>
    <w:p w14:paraId="2B29A9EA" w14:textId="77777777" w:rsidR="007A35EF" w:rsidRPr="00673AA1" w:rsidRDefault="007A35EF" w:rsidP="007A35EF">
      <w:pPr>
        <w:jc w:val="both"/>
      </w:pPr>
      <w:r>
        <w:rPr>
          <w:rFonts w:cstheme="minorHAnsi"/>
        </w:rPr>
        <w:t xml:space="preserve">Local planning policy comprises the adopted Havant Borough Local Plan Core Strategy 2011, along with the Allocations Plan 2014. </w:t>
      </w:r>
      <w:r w:rsidRPr="00673AA1">
        <w:t xml:space="preserve">With regards to local planning policy, the following are relevant: </w:t>
      </w:r>
    </w:p>
    <w:p w14:paraId="78682E80" w14:textId="77777777" w:rsidR="007A35EF" w:rsidRPr="00673AA1" w:rsidRDefault="007A35EF" w:rsidP="007A35EF">
      <w:pPr>
        <w:jc w:val="both"/>
        <w:rPr>
          <w:bCs/>
        </w:rPr>
      </w:pPr>
      <w:r w:rsidRPr="00673AA1">
        <w:t xml:space="preserve">Policy CS11 of the Core Strategy states that </w:t>
      </w:r>
      <w:r w:rsidRPr="00673AA1">
        <w:rPr>
          <w:bCs/>
        </w:rPr>
        <w:t>planning permission will be granted for development that:</w:t>
      </w:r>
    </w:p>
    <w:p w14:paraId="4FCCE30E" w14:textId="77777777" w:rsidR="007A35EF" w:rsidRPr="00673AA1" w:rsidRDefault="007A35EF" w:rsidP="007A35EF">
      <w:pPr>
        <w:jc w:val="both"/>
      </w:pPr>
      <w:r w:rsidRPr="00673AA1">
        <w:t>Protects and where appropriate enhances the borough’s statutory and non-statutory heritage designations by appropriately managing development in or adjacent to conservation areas, listed buildings, scheduled ancient monuments, historic parks and gardens, archaeological sites, buildings of local historic or architectural interest.</w:t>
      </w:r>
    </w:p>
    <w:p w14:paraId="022F61FD" w14:textId="77777777" w:rsidR="007A35EF" w:rsidRPr="00673AA1" w:rsidRDefault="007A35EF" w:rsidP="007A35EF">
      <w:pPr>
        <w:jc w:val="both"/>
      </w:pPr>
      <w:r w:rsidRPr="00673AA1">
        <w:t>Policy CP16 (1a) of the Core Strategy states ‘Planning permission will be granted for development that is designed to a high standard, which helps to create places where people want to live, work and relax. All development should demonstrate that its design:</w:t>
      </w:r>
    </w:p>
    <w:p w14:paraId="6ECEC87A" w14:textId="77777777" w:rsidR="007A35EF" w:rsidRPr="00673AA1" w:rsidRDefault="007A35EF" w:rsidP="007A35EF">
      <w:pPr>
        <w:jc w:val="both"/>
      </w:pPr>
      <w:r w:rsidRPr="00673AA1">
        <w:t>Identifies and responds positively to existing features of natural, historic or local character within or close to the proposed development site’.</w:t>
      </w:r>
    </w:p>
    <w:p w14:paraId="0DEDD88D" w14:textId="77777777" w:rsidR="007A35EF" w:rsidRPr="00673AA1" w:rsidRDefault="007A35EF" w:rsidP="007A35EF">
      <w:pPr>
        <w:jc w:val="both"/>
      </w:pPr>
      <w:r w:rsidRPr="00673AA1">
        <w:t xml:space="preserve">Policy DM20 of the Allocations Plan states that planning permission will be granted for development proposals that conserves and enhances the historic assets of Havant. It also states that application which affect, or have the potential to affect, heritage assets are expected to provide a Heritage Statement that: </w:t>
      </w:r>
    </w:p>
    <w:p w14:paraId="789956BC" w14:textId="77777777" w:rsidR="007A35EF" w:rsidRPr="00673AA1" w:rsidRDefault="007A35EF" w:rsidP="007A35EF">
      <w:pPr>
        <w:autoSpaceDE w:val="0"/>
        <w:autoSpaceDN w:val="0"/>
        <w:adjustRightInd w:val="0"/>
        <w:spacing w:after="0" w:line="240" w:lineRule="auto"/>
        <w:jc w:val="both"/>
        <w:rPr>
          <w:rFonts w:cs="Arial"/>
          <w:bCs/>
        </w:rPr>
      </w:pPr>
      <w:r w:rsidRPr="00673AA1">
        <w:rPr>
          <w:rFonts w:cs="Arial"/>
          <w:bCs/>
        </w:rPr>
        <w:t>1. Describe the significance of the asset and its setting, using appropriate expertise</w:t>
      </w:r>
    </w:p>
    <w:p w14:paraId="2DA16F5F" w14:textId="77777777" w:rsidR="007A35EF" w:rsidRPr="00673AA1" w:rsidRDefault="007A35EF" w:rsidP="007A35EF">
      <w:pPr>
        <w:autoSpaceDE w:val="0"/>
        <w:autoSpaceDN w:val="0"/>
        <w:adjustRightInd w:val="0"/>
        <w:spacing w:after="0" w:line="240" w:lineRule="auto"/>
        <w:jc w:val="both"/>
        <w:rPr>
          <w:rFonts w:cs="Arial"/>
          <w:bCs/>
        </w:rPr>
      </w:pPr>
      <w:r w:rsidRPr="00673AA1">
        <w:rPr>
          <w:rFonts w:cs="Arial"/>
          <w:bCs/>
        </w:rPr>
        <w:t>and where necessary original survey, at a level of detail proportionate to its</w:t>
      </w:r>
    </w:p>
    <w:p w14:paraId="253A59C5" w14:textId="77777777" w:rsidR="007A35EF" w:rsidRPr="00673AA1" w:rsidRDefault="007A35EF" w:rsidP="007A35EF">
      <w:pPr>
        <w:autoSpaceDE w:val="0"/>
        <w:autoSpaceDN w:val="0"/>
        <w:adjustRightInd w:val="0"/>
        <w:spacing w:after="0" w:line="240" w:lineRule="auto"/>
        <w:jc w:val="both"/>
        <w:rPr>
          <w:rFonts w:cs="Arial"/>
          <w:bCs/>
        </w:rPr>
      </w:pPr>
      <w:r w:rsidRPr="00673AA1">
        <w:rPr>
          <w:rFonts w:cs="Arial"/>
          <w:bCs/>
        </w:rPr>
        <w:t>significance and sufficient to understand the potential impact of the proposal.</w:t>
      </w:r>
    </w:p>
    <w:p w14:paraId="4A928E44" w14:textId="77777777" w:rsidR="007A35EF" w:rsidRPr="00673AA1" w:rsidRDefault="007A35EF" w:rsidP="007A35EF">
      <w:pPr>
        <w:autoSpaceDE w:val="0"/>
        <w:autoSpaceDN w:val="0"/>
        <w:adjustRightInd w:val="0"/>
        <w:spacing w:after="0" w:line="240" w:lineRule="auto"/>
        <w:jc w:val="both"/>
        <w:rPr>
          <w:rFonts w:cs="Arial"/>
          <w:bCs/>
        </w:rPr>
      </w:pPr>
    </w:p>
    <w:p w14:paraId="7368AD47" w14:textId="77777777" w:rsidR="007A35EF" w:rsidRPr="00673AA1" w:rsidRDefault="007A35EF" w:rsidP="007A35EF">
      <w:pPr>
        <w:autoSpaceDE w:val="0"/>
        <w:autoSpaceDN w:val="0"/>
        <w:adjustRightInd w:val="0"/>
        <w:spacing w:after="0" w:line="240" w:lineRule="auto"/>
        <w:jc w:val="both"/>
        <w:rPr>
          <w:rFonts w:cs="Arial"/>
          <w:bCs/>
        </w:rPr>
      </w:pPr>
      <w:r w:rsidRPr="00673AA1">
        <w:rPr>
          <w:rFonts w:cs="Arial"/>
          <w:bCs/>
        </w:rPr>
        <w:t>2. Sets out the impact of the development on the heritage assets and mitigation that is</w:t>
      </w:r>
    </w:p>
    <w:p w14:paraId="11CC7030" w14:textId="77777777" w:rsidR="007A35EF" w:rsidRPr="00673AA1" w:rsidRDefault="007A35EF" w:rsidP="007A35EF">
      <w:pPr>
        <w:autoSpaceDE w:val="0"/>
        <w:autoSpaceDN w:val="0"/>
        <w:adjustRightInd w:val="0"/>
        <w:spacing w:after="0" w:line="240" w:lineRule="auto"/>
        <w:jc w:val="both"/>
        <w:rPr>
          <w:rFonts w:cs="Arial"/>
          <w:bCs/>
        </w:rPr>
      </w:pPr>
      <w:r w:rsidRPr="00673AA1">
        <w:rPr>
          <w:rFonts w:cs="Arial"/>
          <w:bCs/>
        </w:rPr>
        <w:t>proportionate to the impact and the significance of the heritage asset, including</w:t>
      </w:r>
    </w:p>
    <w:p w14:paraId="470AC3DB" w14:textId="3B831C16" w:rsidR="009D3585" w:rsidRPr="007A35EF" w:rsidRDefault="007A35EF" w:rsidP="007A35EF">
      <w:pPr>
        <w:jc w:val="both"/>
      </w:pPr>
      <w:r w:rsidRPr="00673AA1">
        <w:rPr>
          <w:rFonts w:cs="Arial"/>
          <w:bCs/>
        </w:rPr>
        <w:t>where possible positive opportunities to conserve and enjoy heritage assets.</w:t>
      </w:r>
    </w:p>
    <w:p w14:paraId="763ABD3C" w14:textId="77777777" w:rsidR="009D3585" w:rsidRDefault="009D3585" w:rsidP="00F86F4B">
      <w:pPr>
        <w:pStyle w:val="Default"/>
        <w:jc w:val="both"/>
        <w:rPr>
          <w:rFonts w:asciiTheme="minorHAnsi" w:hAnsiTheme="minorHAnsi" w:cstheme="minorHAnsi"/>
          <w:sz w:val="22"/>
          <w:szCs w:val="22"/>
        </w:rPr>
      </w:pPr>
    </w:p>
    <w:p w14:paraId="6F6495D0" w14:textId="77777777" w:rsidR="00F86F4B" w:rsidRPr="008112C4" w:rsidRDefault="00F86F4B" w:rsidP="00F86F4B">
      <w:pPr>
        <w:jc w:val="both"/>
        <w:rPr>
          <w:b/>
          <w:bCs/>
          <w:u w:val="single"/>
        </w:rPr>
      </w:pPr>
      <w:r w:rsidRPr="008112C4">
        <w:rPr>
          <w:b/>
          <w:bCs/>
          <w:u w:val="single"/>
        </w:rPr>
        <w:t xml:space="preserve">Emsworth Neighbourhood Plan </w:t>
      </w:r>
    </w:p>
    <w:p w14:paraId="00D4388A" w14:textId="77777777" w:rsidR="00F86F4B" w:rsidRPr="008112C4" w:rsidRDefault="00F86F4B" w:rsidP="00F86F4B">
      <w:pPr>
        <w:jc w:val="both"/>
      </w:pPr>
      <w:r w:rsidRPr="008112C4">
        <w:t xml:space="preserve">The Emsworth Neighbourhood Plan has now been adopted and has relevant policies which are applicable to this application: </w:t>
      </w:r>
    </w:p>
    <w:p w14:paraId="6889AFDE" w14:textId="77777777" w:rsidR="00F86F4B" w:rsidRPr="008112C4" w:rsidRDefault="00F86F4B" w:rsidP="00F86F4B">
      <w:pPr>
        <w:jc w:val="both"/>
      </w:pPr>
      <w:r w:rsidRPr="008112C4">
        <w:t xml:space="preserve">Policy H1 – Design and Heritage </w:t>
      </w:r>
    </w:p>
    <w:p w14:paraId="052CB829" w14:textId="66C8AC33" w:rsidR="00F86F4B" w:rsidRPr="008112C4" w:rsidRDefault="00F86F4B" w:rsidP="00F86F4B">
      <w:pPr>
        <w:pStyle w:val="Default"/>
        <w:jc w:val="both"/>
        <w:rPr>
          <w:sz w:val="22"/>
          <w:szCs w:val="22"/>
        </w:rPr>
      </w:pPr>
      <w:r w:rsidRPr="008112C4">
        <w:rPr>
          <w:sz w:val="22"/>
          <w:szCs w:val="22"/>
        </w:rPr>
        <w:t xml:space="preserve">Policy H2 – </w:t>
      </w:r>
      <w:r w:rsidR="007A35EF">
        <w:rPr>
          <w:sz w:val="22"/>
          <w:szCs w:val="22"/>
        </w:rPr>
        <w:t xml:space="preserve">Buildings of Local Historic Interest </w:t>
      </w:r>
    </w:p>
    <w:p w14:paraId="1FA1BA0A" w14:textId="77777777" w:rsidR="00F86F4B" w:rsidRDefault="00F86F4B" w:rsidP="00F86F4B">
      <w:pPr>
        <w:pStyle w:val="Default"/>
        <w:jc w:val="both"/>
        <w:rPr>
          <w:rFonts w:asciiTheme="minorHAnsi" w:hAnsiTheme="minorHAnsi" w:cstheme="minorHAnsi"/>
          <w:sz w:val="22"/>
          <w:szCs w:val="22"/>
        </w:rPr>
      </w:pPr>
    </w:p>
    <w:p w14:paraId="1A6ACD81" w14:textId="77777777" w:rsidR="00F86F4B" w:rsidRPr="006A7AB9" w:rsidRDefault="00F86F4B" w:rsidP="00F86F4B">
      <w:pPr>
        <w:pStyle w:val="Default"/>
        <w:jc w:val="both"/>
        <w:rPr>
          <w:rFonts w:asciiTheme="minorHAnsi" w:hAnsiTheme="minorHAnsi" w:cstheme="minorHAnsi"/>
          <w:b/>
          <w:bCs/>
          <w:sz w:val="22"/>
          <w:szCs w:val="22"/>
          <w:u w:val="single"/>
        </w:rPr>
      </w:pPr>
      <w:r w:rsidRPr="006A7AB9">
        <w:rPr>
          <w:rFonts w:asciiTheme="minorHAnsi" w:hAnsiTheme="minorHAnsi" w:cstheme="minorHAnsi"/>
          <w:b/>
          <w:bCs/>
          <w:sz w:val="22"/>
          <w:szCs w:val="22"/>
          <w:u w:val="single"/>
        </w:rPr>
        <w:t xml:space="preserve">Assessment </w:t>
      </w:r>
    </w:p>
    <w:p w14:paraId="0E5A865D" w14:textId="4BB4A2B5" w:rsidR="00F86F4B" w:rsidRDefault="00F86F4B" w:rsidP="00F86F4B">
      <w:pPr>
        <w:pStyle w:val="Default"/>
        <w:jc w:val="both"/>
        <w:rPr>
          <w:rFonts w:asciiTheme="minorHAnsi" w:hAnsiTheme="minorHAnsi" w:cstheme="minorHAnsi"/>
          <w:sz w:val="22"/>
          <w:szCs w:val="22"/>
        </w:rPr>
      </w:pPr>
    </w:p>
    <w:p w14:paraId="00B4FFE3" w14:textId="59C2B747" w:rsidR="004D3EE2" w:rsidRDefault="005C09E0" w:rsidP="005C09E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Pr>
          <w:rFonts w:cstheme="minorHAnsi"/>
        </w:rPr>
        <w:t>The rebuild boundary wall is of high quality</w:t>
      </w:r>
      <w:r w:rsidR="00BA7C4B">
        <w:rPr>
          <w:rFonts w:cstheme="minorHAnsi"/>
        </w:rPr>
        <w:t xml:space="preserve">, displaying good craftmanship and using an appropriate brick. The railings used are wrought iron painted black which is suitable for the historic context of listed building, Wharf House and the Emsworth conservation area. Planting areas have been included which are yet to be planted up, so if this can be conditioned, that would have a beneficial impact on the visual amenity of King Street. </w:t>
      </w:r>
    </w:p>
    <w:p w14:paraId="4E9CC331" w14:textId="6EF90E8E" w:rsidR="00D626C3" w:rsidRDefault="00D626C3" w:rsidP="006221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p>
    <w:p w14:paraId="646AC4EA" w14:textId="369498D3" w:rsidR="00F86F4B" w:rsidRDefault="00F86F4B" w:rsidP="00F86F4B">
      <w:pPr>
        <w:pStyle w:val="Default"/>
        <w:jc w:val="both"/>
        <w:rPr>
          <w:rFonts w:asciiTheme="minorHAnsi" w:hAnsiTheme="minorHAnsi" w:cstheme="minorHAnsi"/>
          <w:b/>
          <w:sz w:val="22"/>
          <w:szCs w:val="22"/>
          <w:u w:val="single"/>
        </w:rPr>
      </w:pPr>
      <w:r>
        <w:rPr>
          <w:rFonts w:asciiTheme="minorHAnsi" w:hAnsiTheme="minorHAnsi" w:cstheme="minorHAnsi"/>
          <w:b/>
          <w:sz w:val="22"/>
          <w:szCs w:val="22"/>
          <w:u w:val="single"/>
        </w:rPr>
        <w:t xml:space="preserve">Conclusion </w:t>
      </w:r>
    </w:p>
    <w:p w14:paraId="7DB7A5D9" w14:textId="096275D0" w:rsidR="00D626C3" w:rsidRDefault="00D626C3" w:rsidP="00F86F4B">
      <w:pPr>
        <w:pStyle w:val="Default"/>
        <w:jc w:val="both"/>
        <w:rPr>
          <w:rFonts w:asciiTheme="minorHAnsi" w:hAnsiTheme="minorHAnsi" w:cstheme="minorHAnsi"/>
          <w:b/>
          <w:sz w:val="22"/>
          <w:szCs w:val="22"/>
          <w:u w:val="single"/>
        </w:rPr>
      </w:pPr>
    </w:p>
    <w:p w14:paraId="582BA144" w14:textId="7A05B608" w:rsidR="00D626C3" w:rsidRDefault="00D626C3" w:rsidP="00D626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Pr>
          <w:rFonts w:cstheme="minorHAnsi"/>
        </w:rPr>
        <w:t xml:space="preserve">In summary, it is considered that the </w:t>
      </w:r>
      <w:r w:rsidR="00BA7C4B">
        <w:rPr>
          <w:rFonts w:cstheme="minorHAnsi"/>
        </w:rPr>
        <w:t xml:space="preserve">works are not harmful to the </w:t>
      </w:r>
      <w:r>
        <w:rPr>
          <w:rFonts w:cstheme="minorHAnsi"/>
        </w:rPr>
        <w:t xml:space="preserve">heritage asset and preserve and enhance the special qualities of the conservation area, meeting the tests set out in Sections 66 and 72 of the T&amp;CPA 1990 (Listed Buildings and Conservation Areas). </w:t>
      </w:r>
    </w:p>
    <w:p w14:paraId="214E6955" w14:textId="77777777" w:rsidR="00D626C3" w:rsidRDefault="00D626C3" w:rsidP="00F86F4B">
      <w:pPr>
        <w:pStyle w:val="Default"/>
        <w:jc w:val="both"/>
        <w:rPr>
          <w:rFonts w:asciiTheme="minorHAnsi" w:hAnsiTheme="minorHAnsi" w:cstheme="minorHAnsi"/>
          <w:b/>
          <w:sz w:val="22"/>
          <w:szCs w:val="22"/>
          <w:u w:val="single"/>
        </w:rPr>
      </w:pPr>
    </w:p>
    <w:p w14:paraId="07CB7E47" w14:textId="64B6F319" w:rsidR="00E10CD5" w:rsidRDefault="0091676B" w:rsidP="004D3EE2">
      <w:pPr>
        <w:pStyle w:val="Default"/>
        <w:jc w:val="both"/>
        <w:rPr>
          <w:rFonts w:cstheme="minorHAnsi"/>
          <w:sz w:val="22"/>
          <w:szCs w:val="22"/>
        </w:rPr>
      </w:pPr>
      <w:r w:rsidRPr="00D626C3">
        <w:rPr>
          <w:rFonts w:cstheme="minorHAnsi"/>
          <w:b/>
          <w:bCs/>
          <w:sz w:val="22"/>
          <w:szCs w:val="22"/>
        </w:rPr>
        <w:t xml:space="preserve">NO </w:t>
      </w:r>
      <w:r w:rsidR="00F86F4B" w:rsidRPr="00D626C3">
        <w:rPr>
          <w:rFonts w:cstheme="minorHAnsi"/>
          <w:b/>
          <w:bCs/>
          <w:sz w:val="22"/>
          <w:szCs w:val="22"/>
        </w:rPr>
        <w:t xml:space="preserve">OBJECTION </w:t>
      </w:r>
    </w:p>
    <w:p w14:paraId="0916F8AB" w14:textId="77777777" w:rsidR="003F10F2" w:rsidRPr="00D626C3" w:rsidRDefault="003F10F2" w:rsidP="003F10F2">
      <w:pPr>
        <w:pStyle w:val="Default"/>
        <w:ind w:left="720"/>
        <w:jc w:val="both"/>
        <w:rPr>
          <w:rFonts w:cstheme="minorHAnsi"/>
          <w:sz w:val="22"/>
          <w:szCs w:val="22"/>
        </w:rPr>
      </w:pPr>
    </w:p>
    <w:p w14:paraId="5079CBBC" w14:textId="77777777" w:rsidR="00F86F4B" w:rsidRPr="00D4474D" w:rsidRDefault="00F86F4B" w:rsidP="00F86F4B">
      <w:pPr>
        <w:pStyle w:val="Default"/>
        <w:jc w:val="both"/>
        <w:rPr>
          <w:rFonts w:asciiTheme="minorHAnsi" w:hAnsiTheme="minorHAnsi" w:cstheme="minorHAnsi"/>
          <w:b/>
          <w:sz w:val="22"/>
          <w:szCs w:val="22"/>
          <w:u w:val="single"/>
        </w:rPr>
      </w:pPr>
    </w:p>
    <w:p w14:paraId="52183746" w14:textId="77777777" w:rsidR="00F86F4B" w:rsidRPr="0079447F" w:rsidRDefault="00F86F4B" w:rsidP="00F86F4B">
      <w:pPr>
        <w:pStyle w:val="ListParagraph"/>
        <w:rPr>
          <w:rFonts w:cstheme="minorHAnsi"/>
        </w:rPr>
      </w:pPr>
    </w:p>
    <w:p w14:paraId="060D5977" w14:textId="77777777" w:rsidR="00F86F4B" w:rsidRPr="009327D6" w:rsidRDefault="00F86F4B" w:rsidP="00F86F4B">
      <w:pPr>
        <w:rPr>
          <w:rFonts w:cstheme="minorHAnsi"/>
        </w:rPr>
      </w:pPr>
    </w:p>
    <w:p w14:paraId="02AEF3E2" w14:textId="77777777" w:rsidR="00673AA1" w:rsidRPr="009327D6" w:rsidRDefault="00673AA1">
      <w:pPr>
        <w:rPr>
          <w:rFonts w:cstheme="minorHAnsi"/>
        </w:rPr>
      </w:pPr>
    </w:p>
    <w:sectPr w:rsidR="00673AA1" w:rsidRPr="009327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049A"/>
    <w:multiLevelType w:val="hybridMultilevel"/>
    <w:tmpl w:val="5D1A39CC"/>
    <w:lvl w:ilvl="0" w:tplc="9B3E1A40">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 w15:restartNumberingAfterBreak="0">
    <w:nsid w:val="06A6425D"/>
    <w:multiLevelType w:val="hybridMultilevel"/>
    <w:tmpl w:val="D0608EF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95554D"/>
    <w:multiLevelType w:val="hybridMultilevel"/>
    <w:tmpl w:val="959CF8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19894D05"/>
    <w:multiLevelType w:val="hybridMultilevel"/>
    <w:tmpl w:val="743C85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A444971"/>
    <w:multiLevelType w:val="hybridMultilevel"/>
    <w:tmpl w:val="FCEA32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4B5E5F"/>
    <w:multiLevelType w:val="hybridMultilevel"/>
    <w:tmpl w:val="3648D928"/>
    <w:lvl w:ilvl="0" w:tplc="D708E12E">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7175FB1"/>
    <w:multiLevelType w:val="hybridMultilevel"/>
    <w:tmpl w:val="177C53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98501FC"/>
    <w:multiLevelType w:val="hybridMultilevel"/>
    <w:tmpl w:val="9656E6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DF23E42"/>
    <w:multiLevelType w:val="hybridMultilevel"/>
    <w:tmpl w:val="B658DA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8141008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757813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29491199">
    <w:abstractNumId w:val="5"/>
  </w:num>
  <w:num w:numId="4" w16cid:durableId="1163668817">
    <w:abstractNumId w:val="4"/>
  </w:num>
  <w:num w:numId="5" w16cid:durableId="535698626">
    <w:abstractNumId w:val="3"/>
  </w:num>
  <w:num w:numId="6" w16cid:durableId="74518573">
    <w:abstractNumId w:val="7"/>
  </w:num>
  <w:num w:numId="7" w16cid:durableId="374933229">
    <w:abstractNumId w:val="8"/>
  </w:num>
  <w:num w:numId="8" w16cid:durableId="907615647">
    <w:abstractNumId w:val="6"/>
  </w:num>
  <w:num w:numId="9" w16cid:durableId="16376811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456"/>
    <w:rsid w:val="00031E65"/>
    <w:rsid w:val="00046471"/>
    <w:rsid w:val="000522DE"/>
    <w:rsid w:val="000C2245"/>
    <w:rsid w:val="000C2B35"/>
    <w:rsid w:val="000D155D"/>
    <w:rsid w:val="000D6036"/>
    <w:rsid w:val="00123301"/>
    <w:rsid w:val="00187FF9"/>
    <w:rsid w:val="001C3AF7"/>
    <w:rsid w:val="002121C1"/>
    <w:rsid w:val="00272D95"/>
    <w:rsid w:val="00280006"/>
    <w:rsid w:val="002A79BA"/>
    <w:rsid w:val="002B284B"/>
    <w:rsid w:val="002B3D0D"/>
    <w:rsid w:val="002D0D6B"/>
    <w:rsid w:val="00332A3A"/>
    <w:rsid w:val="00346F83"/>
    <w:rsid w:val="00361FE7"/>
    <w:rsid w:val="00376316"/>
    <w:rsid w:val="003F10F2"/>
    <w:rsid w:val="003F25F0"/>
    <w:rsid w:val="003F414D"/>
    <w:rsid w:val="003F76FA"/>
    <w:rsid w:val="00410C73"/>
    <w:rsid w:val="00412C64"/>
    <w:rsid w:val="00440348"/>
    <w:rsid w:val="004542E1"/>
    <w:rsid w:val="004659F2"/>
    <w:rsid w:val="004A129E"/>
    <w:rsid w:val="004D3EE2"/>
    <w:rsid w:val="004F6F64"/>
    <w:rsid w:val="00512EFE"/>
    <w:rsid w:val="0053206B"/>
    <w:rsid w:val="0058224A"/>
    <w:rsid w:val="00584600"/>
    <w:rsid w:val="005C09E0"/>
    <w:rsid w:val="005C1632"/>
    <w:rsid w:val="00622171"/>
    <w:rsid w:val="00624647"/>
    <w:rsid w:val="00662692"/>
    <w:rsid w:val="00673AA1"/>
    <w:rsid w:val="006855AA"/>
    <w:rsid w:val="0069659F"/>
    <w:rsid w:val="006A54BC"/>
    <w:rsid w:val="006A7AB9"/>
    <w:rsid w:val="006B5B64"/>
    <w:rsid w:val="006F2359"/>
    <w:rsid w:val="00781A72"/>
    <w:rsid w:val="0079447F"/>
    <w:rsid w:val="0079518A"/>
    <w:rsid w:val="007A35EF"/>
    <w:rsid w:val="007E1687"/>
    <w:rsid w:val="00802435"/>
    <w:rsid w:val="00852456"/>
    <w:rsid w:val="00862FC1"/>
    <w:rsid w:val="008726D6"/>
    <w:rsid w:val="008B0A38"/>
    <w:rsid w:val="00901AF2"/>
    <w:rsid w:val="00913F22"/>
    <w:rsid w:val="0091676B"/>
    <w:rsid w:val="00930C2D"/>
    <w:rsid w:val="009327D6"/>
    <w:rsid w:val="00980463"/>
    <w:rsid w:val="00984F41"/>
    <w:rsid w:val="009B56E1"/>
    <w:rsid w:val="009D3585"/>
    <w:rsid w:val="009D35AB"/>
    <w:rsid w:val="009E2F11"/>
    <w:rsid w:val="009F782C"/>
    <w:rsid w:val="00A07E34"/>
    <w:rsid w:val="00A20CAF"/>
    <w:rsid w:val="00A27442"/>
    <w:rsid w:val="00A54386"/>
    <w:rsid w:val="00A63170"/>
    <w:rsid w:val="00A71E05"/>
    <w:rsid w:val="00AB323F"/>
    <w:rsid w:val="00AD5038"/>
    <w:rsid w:val="00AF354D"/>
    <w:rsid w:val="00B32D3E"/>
    <w:rsid w:val="00B42C4C"/>
    <w:rsid w:val="00B55D75"/>
    <w:rsid w:val="00B82954"/>
    <w:rsid w:val="00BA7C4B"/>
    <w:rsid w:val="00BE1379"/>
    <w:rsid w:val="00BE1F2E"/>
    <w:rsid w:val="00BE360F"/>
    <w:rsid w:val="00BE59F6"/>
    <w:rsid w:val="00BF67AB"/>
    <w:rsid w:val="00C02690"/>
    <w:rsid w:val="00C05141"/>
    <w:rsid w:val="00C11393"/>
    <w:rsid w:val="00CA11A3"/>
    <w:rsid w:val="00CC7B4C"/>
    <w:rsid w:val="00CD4C97"/>
    <w:rsid w:val="00CE4CC6"/>
    <w:rsid w:val="00D10755"/>
    <w:rsid w:val="00D36325"/>
    <w:rsid w:val="00D4474D"/>
    <w:rsid w:val="00D626C3"/>
    <w:rsid w:val="00DA04BE"/>
    <w:rsid w:val="00DA19B4"/>
    <w:rsid w:val="00DD38FB"/>
    <w:rsid w:val="00E10CD5"/>
    <w:rsid w:val="00E236AF"/>
    <w:rsid w:val="00E307EA"/>
    <w:rsid w:val="00E31470"/>
    <w:rsid w:val="00E31B3A"/>
    <w:rsid w:val="00E436C1"/>
    <w:rsid w:val="00E604DA"/>
    <w:rsid w:val="00EA43A9"/>
    <w:rsid w:val="00EF0C74"/>
    <w:rsid w:val="00F14AFD"/>
    <w:rsid w:val="00F45927"/>
    <w:rsid w:val="00F55D8A"/>
    <w:rsid w:val="00F84D3D"/>
    <w:rsid w:val="00F86F4B"/>
    <w:rsid w:val="00F91CAF"/>
    <w:rsid w:val="00F91F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84A6E"/>
  <w15:chartTrackingRefBased/>
  <w15:docId w15:val="{CBC65BB3-0167-474C-A4CC-C594607AF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456"/>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2456"/>
    <w:pPr>
      <w:ind w:left="720"/>
      <w:contextualSpacing/>
    </w:pPr>
  </w:style>
  <w:style w:type="paragraph" w:customStyle="1" w:styleId="Default">
    <w:name w:val="Default"/>
    <w:rsid w:val="00852456"/>
    <w:pPr>
      <w:autoSpaceDE w:val="0"/>
      <w:autoSpaceDN w:val="0"/>
      <w:adjustRightInd w:val="0"/>
      <w:spacing w:after="0" w:line="240" w:lineRule="auto"/>
    </w:pPr>
    <w:rPr>
      <w:rFonts w:ascii="Calibri" w:hAnsi="Calibri" w:cs="Calibri"/>
      <w:color w:val="000000"/>
      <w:sz w:val="24"/>
      <w:szCs w:val="24"/>
    </w:rPr>
  </w:style>
  <w:style w:type="paragraph" w:customStyle="1" w:styleId="Normal0">
    <w:name w:val="[Normal]"/>
    <w:rsid w:val="00624647"/>
    <w:pPr>
      <w:autoSpaceDE w:val="0"/>
      <w:autoSpaceDN w:val="0"/>
      <w:adjustRightInd w:val="0"/>
      <w:spacing w:after="0" w:line="240" w:lineRule="auto"/>
    </w:pPr>
    <w:rPr>
      <w:rFonts w:ascii="Arial" w:hAnsi="Arial" w:cs="Arial"/>
      <w:sz w:val="24"/>
      <w:szCs w:val="24"/>
    </w:rPr>
  </w:style>
  <w:style w:type="paragraph" w:styleId="NormalWeb">
    <w:name w:val="Normal (Web)"/>
    <w:basedOn w:val="Normal"/>
    <w:uiPriority w:val="99"/>
    <w:semiHidden/>
    <w:unhideWhenUsed/>
    <w:rsid w:val="007A35E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A35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547637">
      <w:bodyDiv w:val="1"/>
      <w:marLeft w:val="0"/>
      <w:marRight w:val="0"/>
      <w:marTop w:val="0"/>
      <w:marBottom w:val="0"/>
      <w:divBdr>
        <w:top w:val="none" w:sz="0" w:space="0" w:color="auto"/>
        <w:left w:val="none" w:sz="0" w:space="0" w:color="auto"/>
        <w:bottom w:val="none" w:sz="0" w:space="0" w:color="auto"/>
        <w:right w:val="none" w:sz="0" w:space="0" w:color="auto"/>
      </w:divBdr>
    </w:div>
    <w:div w:id="979384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874</Words>
  <Characters>4985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McMurray, Rachael</dc:creator>
  <cp:keywords/>
  <dc:description/>
  <cp:lastModifiedBy>McMurray, Rachael</cp:lastModifiedBy>
  <cp:revision>3</cp:revision>
  <dcterms:created xsi:type="dcterms:W3CDTF">2024-04-15T13:31:00Z</dcterms:created>
  <dcterms:modified xsi:type="dcterms:W3CDTF">2024-04-15T13:43:00Z</dcterms:modified>
</cp:coreProperties>
</file>