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5B13B8" w14:textId="404839B6" w:rsidR="00960C52" w:rsidRDefault="00960C52" w:rsidP="00960C52">
      <w:pPr>
        <w:spacing w:line="276" w:lineRule="auto"/>
        <w:jc w:val="right"/>
        <w:rPr>
          <w:rFonts w:ascii="Arial" w:hAnsi="Arial" w:cs="Arial"/>
          <w:color w:val="404040"/>
          <w:sz w:val="32"/>
          <w:szCs w:val="32"/>
        </w:rPr>
      </w:pPr>
      <w:r>
        <w:rPr>
          <w:rFonts w:ascii="Arial" w:hAnsi="Arial" w:cs="Arial"/>
          <w:noProof/>
          <w:color w:val="404040"/>
          <w:sz w:val="32"/>
          <w:szCs w:val="32"/>
        </w:rPr>
        <w:drawing>
          <wp:inline distT="0" distB="0" distL="0" distR="0" wp14:anchorId="79D26CA1" wp14:editId="189E5952">
            <wp:extent cx="1676400" cy="600075"/>
            <wp:effectExtent l="0" t="0" r="0" b="0"/>
            <wp:docPr id="104" name="Picture 104" descr="J:\HBC\Other\Shared\Shared\HBC LOGOS\HBC Logo Text Only Jpe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J:\HBC\Other\Shared\Shared\HBC LOGOS\HBC Logo Text Only Jpeg.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76400" cy="600075"/>
                    </a:xfrm>
                    <a:prstGeom prst="rect">
                      <a:avLst/>
                    </a:prstGeom>
                    <a:noFill/>
                    <a:ln>
                      <a:noFill/>
                    </a:ln>
                  </pic:spPr>
                </pic:pic>
              </a:graphicData>
            </a:graphic>
          </wp:inline>
        </w:drawing>
      </w:r>
    </w:p>
    <w:p w14:paraId="6D103CD4" w14:textId="77777777" w:rsidR="00960C52" w:rsidRDefault="00960C52" w:rsidP="00491DBE">
      <w:pPr>
        <w:spacing w:line="276" w:lineRule="auto"/>
        <w:jc w:val="center"/>
        <w:rPr>
          <w:rFonts w:ascii="Arial" w:hAnsi="Arial" w:cs="Arial"/>
          <w:color w:val="404040"/>
          <w:sz w:val="32"/>
          <w:szCs w:val="32"/>
        </w:rPr>
      </w:pPr>
    </w:p>
    <w:p w14:paraId="22FA79B1" w14:textId="45BF2C58" w:rsidR="001071FC" w:rsidRDefault="001071FC" w:rsidP="00491DBE">
      <w:pPr>
        <w:spacing w:line="276" w:lineRule="auto"/>
        <w:jc w:val="center"/>
        <w:rPr>
          <w:rFonts w:ascii="Arial" w:hAnsi="Arial" w:cs="Arial"/>
          <w:color w:val="404040"/>
          <w:sz w:val="32"/>
          <w:szCs w:val="32"/>
        </w:rPr>
      </w:pPr>
      <w:r w:rsidRPr="00556FCD">
        <w:rPr>
          <w:rFonts w:ascii="Arial" w:hAnsi="Arial" w:cs="Arial"/>
          <w:color w:val="404040"/>
          <w:sz w:val="32"/>
          <w:szCs w:val="32"/>
        </w:rPr>
        <w:t>Habitat</w:t>
      </w:r>
      <w:r w:rsidR="00F87826">
        <w:rPr>
          <w:rFonts w:ascii="Arial" w:hAnsi="Arial" w:cs="Arial"/>
          <w:color w:val="404040"/>
          <w:sz w:val="32"/>
          <w:szCs w:val="32"/>
        </w:rPr>
        <w:t>s</w:t>
      </w:r>
      <w:r w:rsidRPr="00556FCD">
        <w:rPr>
          <w:rFonts w:ascii="Arial" w:hAnsi="Arial" w:cs="Arial"/>
          <w:color w:val="404040"/>
          <w:sz w:val="32"/>
          <w:szCs w:val="32"/>
        </w:rPr>
        <w:t xml:space="preserve"> Regulation</w:t>
      </w:r>
      <w:r w:rsidR="00F87826">
        <w:rPr>
          <w:rFonts w:ascii="Arial" w:hAnsi="Arial" w:cs="Arial"/>
          <w:color w:val="404040"/>
          <w:sz w:val="32"/>
          <w:szCs w:val="32"/>
        </w:rPr>
        <w:t>s</w:t>
      </w:r>
      <w:r w:rsidRPr="00556FCD">
        <w:rPr>
          <w:rFonts w:ascii="Arial" w:hAnsi="Arial" w:cs="Arial"/>
          <w:color w:val="404040"/>
          <w:sz w:val="32"/>
          <w:szCs w:val="32"/>
        </w:rPr>
        <w:t xml:space="preserve"> Assessment (HRA) </w:t>
      </w:r>
    </w:p>
    <w:p w14:paraId="7E1B4BB2" w14:textId="5BDF1AA4" w:rsidR="001071FC" w:rsidRDefault="001071FC" w:rsidP="00491DBE">
      <w:pPr>
        <w:spacing w:line="276" w:lineRule="auto"/>
        <w:jc w:val="center"/>
        <w:rPr>
          <w:rFonts w:ascii="Arial" w:hAnsi="Arial" w:cs="Arial"/>
          <w:color w:val="404040"/>
          <w:sz w:val="32"/>
          <w:szCs w:val="32"/>
        </w:rPr>
      </w:pPr>
      <w:r>
        <w:rPr>
          <w:rFonts w:ascii="Arial" w:hAnsi="Arial" w:cs="Arial"/>
          <w:color w:val="404040"/>
          <w:sz w:val="32"/>
          <w:szCs w:val="32"/>
        </w:rPr>
        <w:t>Screening and Appropriate Assessment</w:t>
      </w:r>
      <w:r w:rsidR="00F87826">
        <w:rPr>
          <w:rFonts w:ascii="Arial" w:hAnsi="Arial" w:cs="Arial"/>
          <w:color w:val="404040"/>
          <w:sz w:val="32"/>
          <w:szCs w:val="32"/>
        </w:rPr>
        <w:t xml:space="preserve"> (AA)</w:t>
      </w:r>
    </w:p>
    <w:p w14:paraId="7833E80B" w14:textId="77777777" w:rsidR="001071FC" w:rsidRPr="00741821" w:rsidRDefault="001071FC" w:rsidP="00491DBE">
      <w:pPr>
        <w:spacing w:line="276" w:lineRule="auto"/>
        <w:jc w:val="center"/>
        <w:rPr>
          <w:rFonts w:ascii="Arial" w:hAnsi="Arial" w:cs="Arial"/>
          <w:color w:val="404040"/>
          <w:sz w:val="20"/>
          <w:szCs w:val="20"/>
        </w:rPr>
      </w:pPr>
    </w:p>
    <w:p w14:paraId="7A59DBEA" w14:textId="400F5FD9" w:rsidR="001071FC" w:rsidRPr="00741821" w:rsidRDefault="001071FC" w:rsidP="00491DBE">
      <w:pPr>
        <w:spacing w:line="276" w:lineRule="auto"/>
        <w:jc w:val="center"/>
        <w:rPr>
          <w:rFonts w:ascii="Arial" w:hAnsi="Arial" w:cs="Arial"/>
          <w:b/>
          <w:color w:val="404040"/>
          <w:sz w:val="20"/>
          <w:szCs w:val="20"/>
        </w:rPr>
      </w:pPr>
      <w:r w:rsidRPr="00741821">
        <w:rPr>
          <w:rFonts w:ascii="Arial" w:hAnsi="Arial" w:cs="Arial"/>
          <w:b/>
          <w:color w:val="404040"/>
          <w:sz w:val="20"/>
          <w:szCs w:val="20"/>
        </w:rPr>
        <w:t xml:space="preserve">PLEASE NOTE:  Undertaking the HRA process is the responsibility of </w:t>
      </w:r>
      <w:r w:rsidR="00F87826">
        <w:rPr>
          <w:rFonts w:ascii="Arial" w:hAnsi="Arial" w:cs="Arial"/>
          <w:b/>
          <w:color w:val="404040"/>
          <w:sz w:val="20"/>
          <w:szCs w:val="20"/>
        </w:rPr>
        <w:t xml:space="preserve">Havant Borough Council as </w:t>
      </w:r>
      <w:r w:rsidRPr="00741821">
        <w:rPr>
          <w:rFonts w:ascii="Arial" w:hAnsi="Arial" w:cs="Arial"/>
          <w:b/>
          <w:color w:val="404040"/>
          <w:sz w:val="20"/>
          <w:szCs w:val="20"/>
        </w:rPr>
        <w:t>the Competent Authority for the purpose of the Habitats Regulations</w:t>
      </w:r>
      <w:r w:rsidR="00834B23" w:rsidRPr="00741821">
        <w:rPr>
          <w:rFonts w:ascii="Arial" w:hAnsi="Arial" w:cs="Arial"/>
          <w:b/>
          <w:color w:val="404040"/>
          <w:sz w:val="20"/>
          <w:szCs w:val="20"/>
        </w:rPr>
        <w:t>. H</w:t>
      </w:r>
      <w:r w:rsidRPr="00741821">
        <w:rPr>
          <w:rFonts w:ascii="Arial" w:hAnsi="Arial" w:cs="Arial"/>
          <w:b/>
          <w:color w:val="404040"/>
          <w:sz w:val="20"/>
          <w:szCs w:val="20"/>
        </w:rPr>
        <w:t xml:space="preserve">owever, it is the responsibility of the </w:t>
      </w:r>
      <w:r w:rsidR="005D59FD" w:rsidRPr="00741821">
        <w:rPr>
          <w:rFonts w:ascii="Arial" w:hAnsi="Arial" w:cs="Arial"/>
          <w:b/>
          <w:color w:val="404040"/>
          <w:sz w:val="20"/>
          <w:szCs w:val="20"/>
        </w:rPr>
        <w:t xml:space="preserve">applicant </w:t>
      </w:r>
      <w:r w:rsidRPr="00741821">
        <w:rPr>
          <w:rFonts w:ascii="Arial" w:hAnsi="Arial" w:cs="Arial"/>
          <w:b/>
          <w:color w:val="404040"/>
          <w:sz w:val="20"/>
          <w:szCs w:val="20"/>
        </w:rPr>
        <w:t>to provide the Competent Authority with the information that they require for this purpose.</w:t>
      </w:r>
    </w:p>
    <w:p w14:paraId="64568BD4" w14:textId="77777777" w:rsidR="001071FC" w:rsidRPr="00287505" w:rsidRDefault="001071FC" w:rsidP="00741821">
      <w:pPr>
        <w:spacing w:line="276" w:lineRule="auto"/>
        <w:rPr>
          <w:rFonts w:ascii="Arial" w:hAnsi="Arial" w:cs="Arial"/>
          <w:b/>
          <w:color w:val="404040"/>
        </w:rPr>
      </w:pPr>
    </w:p>
    <w:tbl>
      <w:tblPr>
        <w:tblW w:w="0" w:type="auto"/>
        <w:tblBorders>
          <w:top w:val="single" w:sz="12" w:space="0" w:color="0083BE"/>
          <w:left w:val="single" w:sz="12" w:space="0" w:color="0083BE"/>
          <w:bottom w:val="single" w:sz="12" w:space="0" w:color="0083BE"/>
          <w:right w:val="single" w:sz="12" w:space="0" w:color="0083BE"/>
          <w:insideH w:val="single" w:sz="4" w:space="0" w:color="0083BE"/>
          <w:insideV w:val="single" w:sz="4" w:space="0" w:color="0083BE"/>
        </w:tblBorders>
        <w:tblCellMar>
          <w:top w:w="57" w:type="dxa"/>
          <w:left w:w="57" w:type="dxa"/>
          <w:bottom w:w="57" w:type="dxa"/>
          <w:right w:w="57" w:type="dxa"/>
        </w:tblCellMar>
        <w:tblLook w:val="00A0" w:firstRow="1" w:lastRow="0" w:firstColumn="1" w:lastColumn="0" w:noHBand="0" w:noVBand="0"/>
      </w:tblPr>
      <w:tblGrid>
        <w:gridCol w:w="2484"/>
        <w:gridCol w:w="1521"/>
        <w:gridCol w:w="5603"/>
      </w:tblGrid>
      <w:tr w:rsidR="00741821" w:rsidRPr="00C6619F" w14:paraId="7ABBBF64" w14:textId="77777777" w:rsidTr="00741821">
        <w:tc>
          <w:tcPr>
            <w:tcW w:w="2467" w:type="dxa"/>
            <w:tcBorders>
              <w:top w:val="single" w:sz="12" w:space="0" w:color="0083BE"/>
              <w:bottom w:val="single" w:sz="4" w:space="0" w:color="0083BE"/>
            </w:tcBorders>
            <w:shd w:val="clear" w:color="auto" w:fill="DAE7EE"/>
          </w:tcPr>
          <w:p w14:paraId="673F2C8A" w14:textId="77777777" w:rsidR="00741821" w:rsidRDefault="00741821" w:rsidP="00741821">
            <w:pPr>
              <w:spacing w:line="276" w:lineRule="auto"/>
              <w:rPr>
                <w:rFonts w:ascii="Arial" w:hAnsi="Arial" w:cs="Arial"/>
                <w:color w:val="404040"/>
                <w:sz w:val="22"/>
                <w:szCs w:val="22"/>
              </w:rPr>
            </w:pPr>
            <w:r>
              <w:rPr>
                <w:rFonts w:ascii="Arial" w:hAnsi="Arial" w:cs="Arial"/>
                <w:color w:val="404040"/>
                <w:sz w:val="22"/>
                <w:szCs w:val="22"/>
              </w:rPr>
              <w:t>HRA drafting date:</w:t>
            </w:r>
          </w:p>
        </w:tc>
        <w:tc>
          <w:tcPr>
            <w:tcW w:w="7141" w:type="dxa"/>
            <w:gridSpan w:val="2"/>
            <w:tcBorders>
              <w:top w:val="single" w:sz="12" w:space="0" w:color="0083BE"/>
              <w:bottom w:val="single" w:sz="4" w:space="0" w:color="0083BE"/>
            </w:tcBorders>
          </w:tcPr>
          <w:p w14:paraId="7D9C92E1" w14:textId="20A91246" w:rsidR="00741821" w:rsidRPr="00B25729" w:rsidRDefault="00EC47F8" w:rsidP="00741821">
            <w:pPr>
              <w:spacing w:line="276" w:lineRule="auto"/>
              <w:rPr>
                <w:rFonts w:ascii="Arial" w:hAnsi="Arial" w:cs="Arial"/>
              </w:rPr>
            </w:pPr>
            <w:r>
              <w:rPr>
                <w:rFonts w:ascii="Arial" w:hAnsi="Arial" w:cs="Arial"/>
              </w:rPr>
              <w:t>1</w:t>
            </w:r>
            <w:r w:rsidRPr="00EC47F8">
              <w:rPr>
                <w:rFonts w:ascii="Arial" w:hAnsi="Arial" w:cs="Arial"/>
                <w:vertAlign w:val="superscript"/>
              </w:rPr>
              <w:t>st</w:t>
            </w:r>
            <w:r>
              <w:rPr>
                <w:rFonts w:ascii="Arial" w:hAnsi="Arial" w:cs="Arial"/>
              </w:rPr>
              <w:t xml:space="preserve"> November 2024</w:t>
            </w:r>
          </w:p>
        </w:tc>
      </w:tr>
      <w:tr w:rsidR="00317486" w:rsidRPr="00C6619F" w14:paraId="0F25F02E" w14:textId="77777777" w:rsidTr="00741821">
        <w:tc>
          <w:tcPr>
            <w:tcW w:w="2467" w:type="dxa"/>
            <w:tcBorders>
              <w:top w:val="single" w:sz="4" w:space="0" w:color="0083BE"/>
              <w:bottom w:val="single" w:sz="4" w:space="0" w:color="0083BE"/>
            </w:tcBorders>
            <w:shd w:val="clear" w:color="auto" w:fill="DAE7EE"/>
          </w:tcPr>
          <w:p w14:paraId="0FAA50B3" w14:textId="77777777" w:rsidR="00317486" w:rsidRPr="00B25729" w:rsidRDefault="00317486" w:rsidP="00741821">
            <w:pPr>
              <w:spacing w:line="276" w:lineRule="auto"/>
              <w:rPr>
                <w:rFonts w:ascii="Arial" w:hAnsi="Arial" w:cs="Arial"/>
                <w:color w:val="404040"/>
                <w:sz w:val="22"/>
                <w:szCs w:val="22"/>
              </w:rPr>
            </w:pPr>
            <w:r>
              <w:rPr>
                <w:rFonts w:ascii="Arial" w:hAnsi="Arial" w:cs="Arial"/>
                <w:color w:val="404040"/>
                <w:sz w:val="22"/>
                <w:szCs w:val="22"/>
              </w:rPr>
              <w:t>HRA completion date:</w:t>
            </w:r>
          </w:p>
        </w:tc>
        <w:tc>
          <w:tcPr>
            <w:tcW w:w="7141" w:type="dxa"/>
            <w:gridSpan w:val="2"/>
            <w:tcBorders>
              <w:top w:val="single" w:sz="4" w:space="0" w:color="0083BE"/>
              <w:bottom w:val="single" w:sz="4" w:space="0" w:color="0083BE"/>
            </w:tcBorders>
          </w:tcPr>
          <w:p w14:paraId="13E68FC3" w14:textId="10012238" w:rsidR="00317486" w:rsidRPr="00B25729" w:rsidRDefault="00317486" w:rsidP="00741821">
            <w:pPr>
              <w:spacing w:line="276" w:lineRule="auto"/>
              <w:rPr>
                <w:rFonts w:ascii="Arial" w:hAnsi="Arial" w:cs="Arial"/>
              </w:rPr>
            </w:pPr>
          </w:p>
        </w:tc>
      </w:tr>
      <w:tr w:rsidR="001071FC" w:rsidRPr="00C6619F" w14:paraId="7A375DCD" w14:textId="77777777" w:rsidTr="00741821">
        <w:tc>
          <w:tcPr>
            <w:tcW w:w="2467" w:type="dxa"/>
            <w:tcBorders>
              <w:top w:val="single" w:sz="4" w:space="0" w:color="0083BE"/>
              <w:bottom w:val="single" w:sz="4" w:space="0" w:color="0083BE"/>
            </w:tcBorders>
            <w:shd w:val="clear" w:color="auto" w:fill="DAE7EE"/>
          </w:tcPr>
          <w:p w14:paraId="3D7BBB00"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Application reference:</w:t>
            </w:r>
          </w:p>
        </w:tc>
        <w:tc>
          <w:tcPr>
            <w:tcW w:w="7141" w:type="dxa"/>
            <w:gridSpan w:val="2"/>
            <w:tcBorders>
              <w:top w:val="single" w:sz="4" w:space="0" w:color="0083BE"/>
              <w:bottom w:val="single" w:sz="4" w:space="0" w:color="0083BE"/>
            </w:tcBorders>
          </w:tcPr>
          <w:p w14:paraId="4EC1C1DF" w14:textId="474459D6" w:rsidR="001071FC" w:rsidRPr="00B25729" w:rsidRDefault="00EC47F8" w:rsidP="00741821">
            <w:pPr>
              <w:spacing w:line="276" w:lineRule="auto"/>
              <w:rPr>
                <w:rFonts w:ascii="Arial" w:hAnsi="Arial" w:cs="Arial"/>
              </w:rPr>
            </w:pPr>
            <w:r>
              <w:rPr>
                <w:rFonts w:ascii="Arial" w:hAnsi="Arial" w:cs="Arial"/>
              </w:rPr>
              <w:t>APP/24/00639</w:t>
            </w:r>
          </w:p>
        </w:tc>
      </w:tr>
      <w:tr w:rsidR="00D873D9" w:rsidRPr="00C6619F" w14:paraId="26DD4502" w14:textId="77777777" w:rsidTr="00741821">
        <w:tc>
          <w:tcPr>
            <w:tcW w:w="2467" w:type="dxa"/>
            <w:tcBorders>
              <w:top w:val="single" w:sz="4" w:space="0" w:color="0083BE"/>
              <w:bottom w:val="single" w:sz="4" w:space="0" w:color="0083BE"/>
            </w:tcBorders>
            <w:shd w:val="clear" w:color="auto" w:fill="DAE7EE"/>
          </w:tcPr>
          <w:p w14:paraId="27C4A567" w14:textId="48E3D3D4" w:rsidR="00D873D9" w:rsidRPr="00B25729" w:rsidRDefault="00D873D9" w:rsidP="00741821">
            <w:pPr>
              <w:spacing w:line="276" w:lineRule="auto"/>
              <w:rPr>
                <w:rFonts w:ascii="Arial" w:hAnsi="Arial" w:cs="Arial"/>
                <w:color w:val="404040"/>
                <w:sz w:val="22"/>
                <w:szCs w:val="22"/>
              </w:rPr>
            </w:pPr>
            <w:r>
              <w:rPr>
                <w:rFonts w:ascii="Arial" w:hAnsi="Arial" w:cs="Arial"/>
                <w:color w:val="404040"/>
                <w:sz w:val="22"/>
                <w:szCs w:val="22"/>
              </w:rPr>
              <w:t xml:space="preserve">Application address: </w:t>
            </w:r>
          </w:p>
        </w:tc>
        <w:tc>
          <w:tcPr>
            <w:tcW w:w="7141" w:type="dxa"/>
            <w:gridSpan w:val="2"/>
            <w:tcBorders>
              <w:top w:val="single" w:sz="4" w:space="0" w:color="0083BE"/>
              <w:bottom w:val="single" w:sz="4" w:space="0" w:color="0083BE"/>
            </w:tcBorders>
          </w:tcPr>
          <w:p w14:paraId="3E0A2940" w14:textId="719D3428" w:rsidR="00D873D9" w:rsidRPr="00B25729" w:rsidRDefault="00EC47F8" w:rsidP="00741821">
            <w:pPr>
              <w:spacing w:line="276" w:lineRule="auto"/>
              <w:rPr>
                <w:rFonts w:ascii="Arial" w:hAnsi="Arial" w:cs="Arial"/>
              </w:rPr>
            </w:pPr>
            <w:r>
              <w:rPr>
                <w:rFonts w:ascii="Arial" w:hAnsi="Arial" w:cs="Arial"/>
              </w:rPr>
              <w:t xml:space="preserve">10 </w:t>
            </w:r>
            <w:proofErr w:type="spellStart"/>
            <w:r>
              <w:rPr>
                <w:rFonts w:ascii="Arial" w:hAnsi="Arial" w:cs="Arial"/>
              </w:rPr>
              <w:t>Portsdown</w:t>
            </w:r>
            <w:proofErr w:type="spellEnd"/>
            <w:r>
              <w:rPr>
                <w:rFonts w:ascii="Arial" w:hAnsi="Arial" w:cs="Arial"/>
              </w:rPr>
              <w:t xml:space="preserve"> Hill Road, Havant, PO9 3JX</w:t>
            </w:r>
          </w:p>
        </w:tc>
      </w:tr>
      <w:tr w:rsidR="001071FC" w:rsidRPr="00C6619F" w14:paraId="329E2E32" w14:textId="77777777" w:rsidTr="00741821">
        <w:tc>
          <w:tcPr>
            <w:tcW w:w="2467" w:type="dxa"/>
            <w:shd w:val="clear" w:color="auto" w:fill="DAE7EE"/>
          </w:tcPr>
          <w:p w14:paraId="623C79BF"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Application description:</w:t>
            </w:r>
          </w:p>
        </w:tc>
        <w:tc>
          <w:tcPr>
            <w:tcW w:w="7141" w:type="dxa"/>
            <w:gridSpan w:val="2"/>
          </w:tcPr>
          <w:p w14:paraId="451786E1" w14:textId="31FD4192" w:rsidR="001071FC" w:rsidRPr="00787BCF" w:rsidRDefault="006942E8" w:rsidP="005B3254">
            <w:pPr>
              <w:pStyle w:val="Normal0"/>
              <w:rPr>
                <w:sz w:val="22"/>
                <w:szCs w:val="22"/>
              </w:rPr>
            </w:pPr>
            <w:r>
              <w:rPr>
                <w:sz w:val="22"/>
                <w:szCs w:val="22"/>
              </w:rPr>
              <w:t xml:space="preserve">Proposed 1No. 2 bed dwelling within the boundary of No. 10 </w:t>
            </w:r>
            <w:proofErr w:type="spellStart"/>
            <w:r>
              <w:rPr>
                <w:sz w:val="22"/>
                <w:szCs w:val="22"/>
              </w:rPr>
              <w:t>Portsdown</w:t>
            </w:r>
            <w:proofErr w:type="spellEnd"/>
            <w:r>
              <w:rPr>
                <w:sz w:val="22"/>
                <w:szCs w:val="22"/>
              </w:rPr>
              <w:t xml:space="preserve"> Hill Road, with shared access.</w:t>
            </w:r>
          </w:p>
        </w:tc>
      </w:tr>
      <w:tr w:rsidR="00317486" w:rsidRPr="00C6619F" w14:paraId="4EC36A86" w14:textId="77777777" w:rsidTr="00741821">
        <w:tc>
          <w:tcPr>
            <w:tcW w:w="2467" w:type="dxa"/>
            <w:tcBorders>
              <w:bottom w:val="single" w:sz="4" w:space="0" w:color="0083BE"/>
            </w:tcBorders>
            <w:shd w:val="clear" w:color="auto" w:fill="DAE7EE"/>
          </w:tcPr>
          <w:p w14:paraId="795F0070" w14:textId="77777777" w:rsidR="00317486" w:rsidRDefault="00317486" w:rsidP="00741821">
            <w:pPr>
              <w:spacing w:line="276" w:lineRule="auto"/>
              <w:rPr>
                <w:rFonts w:ascii="Arial" w:hAnsi="Arial" w:cs="Arial"/>
                <w:color w:val="404040"/>
                <w:sz w:val="22"/>
                <w:szCs w:val="22"/>
              </w:rPr>
            </w:pPr>
            <w:r>
              <w:rPr>
                <w:rFonts w:ascii="Arial" w:hAnsi="Arial" w:cs="Arial"/>
                <w:color w:val="404040"/>
                <w:sz w:val="22"/>
                <w:szCs w:val="22"/>
              </w:rPr>
              <w:t xml:space="preserve">Lead </w:t>
            </w:r>
            <w:r w:rsidRPr="00C33A96">
              <w:rPr>
                <w:rFonts w:ascii="Arial" w:hAnsi="Arial" w:cs="Arial"/>
                <w:color w:val="404040"/>
                <w:sz w:val="22"/>
                <w:szCs w:val="22"/>
              </w:rPr>
              <w:t>Planning Officer</w:t>
            </w:r>
            <w:r>
              <w:rPr>
                <w:rFonts w:ascii="Arial" w:hAnsi="Arial" w:cs="Arial"/>
                <w:color w:val="404040"/>
                <w:sz w:val="22"/>
                <w:szCs w:val="22"/>
              </w:rPr>
              <w:t>:</w:t>
            </w:r>
          </w:p>
        </w:tc>
        <w:tc>
          <w:tcPr>
            <w:tcW w:w="7141" w:type="dxa"/>
            <w:gridSpan w:val="2"/>
            <w:tcBorders>
              <w:bottom w:val="single" w:sz="4" w:space="0" w:color="0083BE"/>
            </w:tcBorders>
          </w:tcPr>
          <w:p w14:paraId="4CA0C571" w14:textId="19EF35D1" w:rsidR="00317486" w:rsidRPr="00B25729" w:rsidRDefault="006942E8" w:rsidP="00741821">
            <w:pPr>
              <w:spacing w:line="276" w:lineRule="auto"/>
              <w:rPr>
                <w:rFonts w:ascii="Arial" w:hAnsi="Arial" w:cs="Arial"/>
              </w:rPr>
            </w:pPr>
            <w:r>
              <w:rPr>
                <w:rFonts w:ascii="Arial" w:hAnsi="Arial" w:cs="Arial"/>
              </w:rPr>
              <w:t>Tina Pickup</w:t>
            </w:r>
          </w:p>
        </w:tc>
      </w:tr>
      <w:tr w:rsidR="00C77ADB" w:rsidRPr="00C6619F" w14:paraId="0CBF489F" w14:textId="77777777" w:rsidTr="00741821">
        <w:tc>
          <w:tcPr>
            <w:tcW w:w="9608" w:type="dxa"/>
            <w:gridSpan w:val="3"/>
            <w:tcBorders>
              <w:top w:val="single" w:sz="4" w:space="0" w:color="0083BE"/>
              <w:bottom w:val="single" w:sz="12" w:space="0" w:color="0083BE"/>
            </w:tcBorders>
            <w:shd w:val="clear" w:color="auto" w:fill="FFFFFF" w:themeFill="background1"/>
          </w:tcPr>
          <w:p w14:paraId="39DA74CA" w14:textId="0EB81F88" w:rsidR="00C77ADB" w:rsidRPr="00741821" w:rsidRDefault="006E5749" w:rsidP="00741821">
            <w:pPr>
              <w:spacing w:line="276" w:lineRule="auto"/>
              <w:rPr>
                <w:rFonts w:ascii="Arial" w:hAnsi="Arial" w:cs="Arial"/>
                <w:sz w:val="16"/>
                <w:szCs w:val="16"/>
              </w:rPr>
            </w:pPr>
            <w:r w:rsidRPr="00741821">
              <w:rPr>
                <w:rFonts w:ascii="Arial" w:hAnsi="Arial" w:cs="Arial"/>
                <w:sz w:val="16"/>
                <w:szCs w:val="16"/>
              </w:rPr>
              <w:t>Please note that all references</w:t>
            </w:r>
            <w:r>
              <w:rPr>
                <w:rFonts w:ascii="Arial" w:hAnsi="Arial" w:cs="Arial"/>
                <w:sz w:val="16"/>
                <w:szCs w:val="16"/>
              </w:rPr>
              <w:t xml:space="preserve"> in this assessment</w:t>
            </w:r>
            <w:r w:rsidRPr="00741821">
              <w:rPr>
                <w:rFonts w:ascii="Arial" w:hAnsi="Arial" w:cs="Arial"/>
                <w:sz w:val="16"/>
                <w:szCs w:val="16"/>
              </w:rPr>
              <w:t xml:space="preserve"> to the ‘Habitats Regulations’ refer to </w:t>
            </w:r>
            <w:r>
              <w:rPr>
                <w:rFonts w:ascii="Arial" w:hAnsi="Arial" w:cs="Arial"/>
                <w:sz w:val="16"/>
                <w:szCs w:val="16"/>
              </w:rPr>
              <w:t>The</w:t>
            </w:r>
            <w:r w:rsidRPr="00741821">
              <w:rPr>
                <w:rFonts w:ascii="Arial" w:hAnsi="Arial" w:cs="Arial"/>
                <w:sz w:val="16"/>
                <w:szCs w:val="16"/>
              </w:rPr>
              <w:t xml:space="preserve"> Conservation of Habitats and Species Regulations 2017</w:t>
            </w:r>
            <w:r>
              <w:rPr>
                <w:rFonts w:ascii="Arial" w:hAnsi="Arial" w:cs="Arial"/>
                <w:sz w:val="16"/>
                <w:szCs w:val="16"/>
              </w:rPr>
              <w:t xml:space="preserve"> (as amended)</w:t>
            </w:r>
            <w:r w:rsidRPr="00741821">
              <w:rPr>
                <w:rFonts w:ascii="Arial" w:hAnsi="Arial" w:cs="Arial"/>
                <w:sz w:val="16"/>
                <w:szCs w:val="16"/>
              </w:rPr>
              <w:t>.</w:t>
            </w:r>
          </w:p>
        </w:tc>
      </w:tr>
      <w:tr w:rsidR="001071FC" w:rsidRPr="00C6619F" w14:paraId="54F631C1" w14:textId="77777777" w:rsidTr="00741821">
        <w:tc>
          <w:tcPr>
            <w:tcW w:w="9608" w:type="dxa"/>
            <w:gridSpan w:val="3"/>
            <w:tcBorders>
              <w:top w:val="single" w:sz="12" w:space="0" w:color="0083BE"/>
              <w:left w:val="nil"/>
              <w:bottom w:val="single" w:sz="12" w:space="0" w:color="0083BE"/>
              <w:right w:val="nil"/>
            </w:tcBorders>
          </w:tcPr>
          <w:p w14:paraId="2151AA12" w14:textId="77777777" w:rsidR="001071FC" w:rsidRPr="00B25729" w:rsidRDefault="001071FC" w:rsidP="00741821">
            <w:pPr>
              <w:spacing w:line="276" w:lineRule="auto"/>
              <w:rPr>
                <w:rFonts w:ascii="Arial" w:hAnsi="Arial" w:cs="Arial"/>
              </w:rPr>
            </w:pPr>
          </w:p>
        </w:tc>
      </w:tr>
      <w:tr w:rsidR="001071FC" w:rsidRPr="00C6619F" w14:paraId="3562B1CD" w14:textId="77777777" w:rsidTr="00741821">
        <w:tc>
          <w:tcPr>
            <w:tcW w:w="9608" w:type="dxa"/>
            <w:gridSpan w:val="3"/>
            <w:tcBorders>
              <w:top w:val="single" w:sz="12" w:space="0" w:color="0083BE"/>
            </w:tcBorders>
            <w:shd w:val="clear" w:color="auto" w:fill="0083BE"/>
          </w:tcPr>
          <w:p w14:paraId="03DFA251"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t>S</w:t>
            </w:r>
            <w:r>
              <w:rPr>
                <w:rFonts w:ascii="Arial" w:hAnsi="Arial" w:cs="Arial"/>
                <w:b/>
                <w:color w:val="FFFFFF"/>
                <w:sz w:val="22"/>
                <w:szCs w:val="22"/>
              </w:rPr>
              <w:t>tage</w:t>
            </w:r>
            <w:r w:rsidRPr="00B25729">
              <w:rPr>
                <w:rFonts w:ascii="Arial" w:hAnsi="Arial" w:cs="Arial"/>
                <w:b/>
                <w:color w:val="FFFFFF"/>
                <w:sz w:val="22"/>
                <w:szCs w:val="22"/>
              </w:rPr>
              <w:t xml:space="preserve"> 1 - details of the plan or project</w:t>
            </w:r>
          </w:p>
        </w:tc>
      </w:tr>
      <w:tr w:rsidR="001071FC" w:rsidRPr="00C6619F" w14:paraId="4547EA8C" w14:textId="77777777" w:rsidTr="00741821">
        <w:tc>
          <w:tcPr>
            <w:tcW w:w="4758" w:type="dxa"/>
            <w:gridSpan w:val="2"/>
            <w:shd w:val="clear" w:color="auto" w:fill="DAE7EE"/>
          </w:tcPr>
          <w:p w14:paraId="264BDE0A"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 xml:space="preserve">European site potentially impacted by </w:t>
            </w:r>
            <w:r>
              <w:rPr>
                <w:rFonts w:ascii="Arial" w:hAnsi="Arial" w:cs="Arial"/>
                <w:color w:val="404040"/>
                <w:sz w:val="22"/>
                <w:szCs w:val="22"/>
              </w:rPr>
              <w:t xml:space="preserve">planning application, </w:t>
            </w:r>
            <w:r w:rsidRPr="00B25729">
              <w:rPr>
                <w:rFonts w:ascii="Arial" w:hAnsi="Arial" w:cs="Arial"/>
                <w:color w:val="404040"/>
                <w:sz w:val="22"/>
                <w:szCs w:val="22"/>
              </w:rPr>
              <w:t>plan or project:</w:t>
            </w:r>
          </w:p>
        </w:tc>
        <w:tc>
          <w:tcPr>
            <w:tcW w:w="4850" w:type="dxa"/>
          </w:tcPr>
          <w:p w14:paraId="3F1146ED" w14:textId="77777777" w:rsidR="007118A2" w:rsidRPr="00B973CB"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 xml:space="preserve">Chichester &amp; Langstone Harbours Special Protection Area (SPA) </w:t>
            </w:r>
          </w:p>
          <w:p w14:paraId="14DADA53" w14:textId="77777777" w:rsidR="007118A2" w:rsidRPr="00B973CB"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Chichester &amp; Langstone Harbours Ramsar site</w:t>
            </w:r>
          </w:p>
          <w:p w14:paraId="2AF66F08"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Solent Maritime Special Area of Conservation (SAC)</w:t>
            </w:r>
          </w:p>
          <w:p w14:paraId="4B0E4751" w14:textId="2DDAC898" w:rsidR="007118A2" w:rsidRDefault="007118A2" w:rsidP="007118A2">
            <w:pPr>
              <w:pStyle w:val="ListParagraph"/>
              <w:numPr>
                <w:ilvl w:val="0"/>
                <w:numId w:val="4"/>
              </w:numPr>
              <w:spacing w:line="276" w:lineRule="auto"/>
              <w:ind w:left="274" w:hanging="141"/>
              <w:rPr>
                <w:rFonts w:ascii="Arial" w:hAnsi="Arial" w:cs="Arial"/>
                <w:sz w:val="20"/>
                <w:szCs w:val="20"/>
              </w:rPr>
            </w:pPr>
            <w:r w:rsidRPr="00E90816">
              <w:rPr>
                <w:rFonts w:ascii="Arial" w:hAnsi="Arial" w:cs="Arial"/>
                <w:sz w:val="20"/>
                <w:szCs w:val="20"/>
              </w:rPr>
              <w:t>Solent and Dorset Coast Special Protection Area (SPA)</w:t>
            </w:r>
          </w:p>
          <w:p w14:paraId="7DD2DE37"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Southampton Water SPA</w:t>
            </w:r>
          </w:p>
          <w:p w14:paraId="1DA3E47C"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Southampton Water Ramsar</w:t>
            </w:r>
          </w:p>
          <w:p w14:paraId="3381304E"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Portsmouth Harbour SPA</w:t>
            </w:r>
          </w:p>
          <w:p w14:paraId="7E26F035"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Portsmouth Harbour Ramsar</w:t>
            </w:r>
          </w:p>
          <w:p w14:paraId="186DDF15" w14:textId="77777777" w:rsidR="001071FC"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Isle of Wight Lagoons SAC</w:t>
            </w:r>
          </w:p>
          <w:p w14:paraId="4791F3EF" w14:textId="5C212524" w:rsidR="00EF293F" w:rsidRPr="00E90816" w:rsidRDefault="00EF293F" w:rsidP="00EF293F">
            <w:pPr>
              <w:pStyle w:val="ListParagraph"/>
              <w:spacing w:line="276" w:lineRule="auto"/>
              <w:ind w:left="274"/>
              <w:rPr>
                <w:rFonts w:ascii="Arial" w:hAnsi="Arial" w:cs="Arial"/>
                <w:sz w:val="20"/>
                <w:szCs w:val="20"/>
              </w:rPr>
            </w:pPr>
            <w:r>
              <w:rPr>
                <w:rFonts w:ascii="Arial" w:hAnsi="Arial" w:cs="Arial"/>
                <w:sz w:val="20"/>
                <w:szCs w:val="20"/>
              </w:rPr>
              <w:t>(Hereafter known as the Solent European Sites)</w:t>
            </w:r>
          </w:p>
        </w:tc>
      </w:tr>
      <w:tr w:rsidR="001071FC" w:rsidRPr="00C6619F" w14:paraId="532E00CF" w14:textId="77777777" w:rsidTr="00741821">
        <w:tc>
          <w:tcPr>
            <w:tcW w:w="4758" w:type="dxa"/>
            <w:gridSpan w:val="2"/>
            <w:shd w:val="clear" w:color="auto" w:fill="DAE7EE"/>
          </w:tcPr>
          <w:p w14:paraId="72FDC4B6"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 xml:space="preserve">Is the </w:t>
            </w:r>
            <w:r>
              <w:rPr>
                <w:rFonts w:ascii="Arial" w:hAnsi="Arial" w:cs="Arial"/>
                <w:color w:val="404040"/>
                <w:sz w:val="22"/>
                <w:szCs w:val="22"/>
              </w:rPr>
              <w:t>planning application</w:t>
            </w:r>
            <w:r w:rsidRPr="00B25729">
              <w:rPr>
                <w:rFonts w:ascii="Arial" w:hAnsi="Arial" w:cs="Arial"/>
                <w:color w:val="404040"/>
                <w:sz w:val="22"/>
                <w:szCs w:val="22"/>
              </w:rPr>
              <w:t xml:space="preserve"> directly connected with or necessary to the management of the site (</w:t>
            </w:r>
            <w:r>
              <w:rPr>
                <w:rFonts w:ascii="Arial" w:hAnsi="Arial" w:cs="Arial"/>
                <w:color w:val="404040"/>
                <w:sz w:val="22"/>
                <w:szCs w:val="22"/>
              </w:rPr>
              <w:t xml:space="preserve">if yes, Applicant should have </w:t>
            </w:r>
            <w:r w:rsidRPr="00B25729">
              <w:rPr>
                <w:rFonts w:ascii="Arial" w:hAnsi="Arial" w:cs="Arial"/>
                <w:color w:val="404040"/>
                <w:sz w:val="22"/>
                <w:szCs w:val="22"/>
              </w:rPr>
              <w:t>provide</w:t>
            </w:r>
            <w:r>
              <w:rPr>
                <w:rFonts w:ascii="Arial" w:hAnsi="Arial" w:cs="Arial"/>
                <w:color w:val="404040"/>
                <w:sz w:val="22"/>
                <w:szCs w:val="22"/>
              </w:rPr>
              <w:t>d</w:t>
            </w:r>
            <w:r w:rsidRPr="00B25729">
              <w:rPr>
                <w:rFonts w:ascii="Arial" w:hAnsi="Arial" w:cs="Arial"/>
                <w:color w:val="404040"/>
                <w:sz w:val="22"/>
                <w:szCs w:val="22"/>
              </w:rPr>
              <w:t xml:space="preserve"> details)?</w:t>
            </w:r>
          </w:p>
        </w:tc>
        <w:tc>
          <w:tcPr>
            <w:tcW w:w="4850" w:type="dxa"/>
          </w:tcPr>
          <w:p w14:paraId="0C7081BE" w14:textId="77777777" w:rsidR="001071FC" w:rsidRPr="00D85710" w:rsidRDefault="00D85710" w:rsidP="00741821">
            <w:pPr>
              <w:spacing w:line="276" w:lineRule="auto"/>
              <w:rPr>
                <w:rFonts w:ascii="Arial" w:hAnsi="Arial" w:cs="Arial"/>
                <w:sz w:val="20"/>
                <w:szCs w:val="20"/>
              </w:rPr>
            </w:pPr>
            <w:r>
              <w:rPr>
                <w:rFonts w:ascii="Arial" w:hAnsi="Arial" w:cs="Arial"/>
                <w:sz w:val="20"/>
                <w:szCs w:val="20"/>
              </w:rPr>
              <w:t xml:space="preserve">No. </w:t>
            </w:r>
            <w:r w:rsidR="00317486">
              <w:rPr>
                <w:rFonts w:ascii="Arial" w:hAnsi="Arial" w:cs="Arial"/>
                <w:sz w:val="20"/>
                <w:szCs w:val="20"/>
              </w:rPr>
              <w:t>T</w:t>
            </w:r>
            <w:r w:rsidR="00317486" w:rsidRPr="00317486">
              <w:rPr>
                <w:rFonts w:ascii="Arial" w:hAnsi="Arial" w:cs="Arial"/>
                <w:sz w:val="20"/>
                <w:szCs w:val="20"/>
              </w:rPr>
              <w:t>he development consists of an increase in residential dwellings, which is neither connected to nor necessary to the management of any European site.</w:t>
            </w:r>
          </w:p>
        </w:tc>
      </w:tr>
      <w:tr w:rsidR="001071FC" w:rsidRPr="00C6619F" w14:paraId="549E6F5B" w14:textId="77777777" w:rsidTr="00741821">
        <w:tc>
          <w:tcPr>
            <w:tcW w:w="4758" w:type="dxa"/>
            <w:gridSpan w:val="2"/>
            <w:tcBorders>
              <w:bottom w:val="single" w:sz="12" w:space="0" w:color="0083BE"/>
            </w:tcBorders>
            <w:shd w:val="clear" w:color="auto" w:fill="DAE7EE"/>
          </w:tcPr>
          <w:p w14:paraId="26E1D42D"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Are there any other projects or plans that together with the p</w:t>
            </w:r>
            <w:r>
              <w:rPr>
                <w:rFonts w:ascii="Arial" w:hAnsi="Arial" w:cs="Arial"/>
                <w:color w:val="404040"/>
                <w:sz w:val="22"/>
                <w:szCs w:val="22"/>
              </w:rPr>
              <w:t>lanning application</w:t>
            </w:r>
            <w:r w:rsidRPr="00B25729">
              <w:rPr>
                <w:rFonts w:ascii="Arial" w:hAnsi="Arial" w:cs="Arial"/>
                <w:color w:val="404040"/>
                <w:sz w:val="22"/>
                <w:szCs w:val="22"/>
              </w:rPr>
              <w:t xml:space="preserve"> being assessed could affect the site?</w:t>
            </w:r>
          </w:p>
        </w:tc>
        <w:tc>
          <w:tcPr>
            <w:tcW w:w="4850" w:type="dxa"/>
            <w:tcBorders>
              <w:bottom w:val="single" w:sz="12" w:space="0" w:color="0083BE"/>
            </w:tcBorders>
          </w:tcPr>
          <w:p w14:paraId="7EA67F29" w14:textId="77777777" w:rsidR="0088177A" w:rsidRPr="00EC4297" w:rsidRDefault="0088177A" w:rsidP="0088177A">
            <w:pPr>
              <w:pStyle w:val="ListParagraph"/>
              <w:spacing w:line="276" w:lineRule="auto"/>
              <w:ind w:left="69"/>
              <w:rPr>
                <w:rFonts w:ascii="Arial" w:hAnsi="Arial" w:cs="Arial"/>
                <w:sz w:val="20"/>
                <w:szCs w:val="20"/>
              </w:rPr>
            </w:pPr>
            <w:r>
              <w:rPr>
                <w:rFonts w:ascii="Arial" w:hAnsi="Arial" w:cs="Arial"/>
                <w:sz w:val="20"/>
                <w:szCs w:val="20"/>
              </w:rPr>
              <w:t>Yes. All new housing development within 5.6km of the Solent SPAs is considered to contribute towards an impact on site integrity in combination with other development in the Solent area due to i</w:t>
            </w:r>
            <w:r w:rsidRPr="00EC4297">
              <w:rPr>
                <w:rFonts w:ascii="Arial" w:hAnsi="Arial" w:cs="Arial"/>
                <w:sz w:val="20"/>
                <w:szCs w:val="20"/>
              </w:rPr>
              <w:t>ncrease in recreational pressure</w:t>
            </w:r>
            <w:r>
              <w:rPr>
                <w:rFonts w:ascii="Arial" w:hAnsi="Arial" w:cs="Arial"/>
                <w:sz w:val="20"/>
                <w:szCs w:val="20"/>
              </w:rPr>
              <w:t>.</w:t>
            </w:r>
          </w:p>
          <w:p w14:paraId="546933A4" w14:textId="77777777" w:rsidR="0088177A" w:rsidRDefault="0088177A" w:rsidP="0088177A">
            <w:pPr>
              <w:spacing w:line="276" w:lineRule="auto"/>
              <w:ind w:left="56"/>
              <w:rPr>
                <w:rFonts w:ascii="Arial" w:hAnsi="Arial" w:cs="Arial"/>
                <w:sz w:val="20"/>
                <w:szCs w:val="20"/>
              </w:rPr>
            </w:pPr>
          </w:p>
          <w:p w14:paraId="62EEFC35" w14:textId="77777777" w:rsidR="0088177A" w:rsidRDefault="0088177A" w:rsidP="0088177A">
            <w:pPr>
              <w:spacing w:line="276" w:lineRule="auto"/>
              <w:ind w:left="56"/>
              <w:rPr>
                <w:rFonts w:ascii="Arial" w:hAnsi="Arial" w:cs="Arial"/>
                <w:sz w:val="20"/>
                <w:szCs w:val="20"/>
              </w:rPr>
            </w:pPr>
            <w:r>
              <w:rPr>
                <w:rFonts w:ascii="Arial" w:hAnsi="Arial" w:cs="Arial"/>
                <w:sz w:val="20"/>
                <w:szCs w:val="20"/>
              </w:rPr>
              <w:t>All new housing development that would drain to the Budds Farm or Thornham Wastewater Treatment Works due to increase in nitrogen deposition leading to a reduction in water quality.</w:t>
            </w:r>
          </w:p>
          <w:p w14:paraId="054E7119" w14:textId="77777777" w:rsidR="0088177A" w:rsidRDefault="0088177A" w:rsidP="0088177A">
            <w:pPr>
              <w:pStyle w:val="ListParagraph"/>
              <w:spacing w:line="276" w:lineRule="auto"/>
              <w:ind w:left="69"/>
              <w:rPr>
                <w:rFonts w:ascii="Arial" w:hAnsi="Arial" w:cs="Arial"/>
                <w:sz w:val="20"/>
                <w:szCs w:val="20"/>
              </w:rPr>
            </w:pPr>
          </w:p>
          <w:p w14:paraId="7DDAF964" w14:textId="2D557884" w:rsidR="00F87826" w:rsidRPr="00F87826" w:rsidRDefault="0088177A" w:rsidP="0088177A">
            <w:pPr>
              <w:pStyle w:val="ListParagraph"/>
              <w:spacing w:line="276" w:lineRule="auto"/>
              <w:ind w:left="69"/>
              <w:rPr>
                <w:rFonts w:ascii="Arial" w:hAnsi="Arial" w:cs="Arial"/>
                <w:sz w:val="20"/>
                <w:szCs w:val="20"/>
              </w:rPr>
            </w:pPr>
            <w:r>
              <w:rPr>
                <w:rFonts w:ascii="Arial" w:hAnsi="Arial" w:cs="Arial"/>
                <w:sz w:val="20"/>
                <w:szCs w:val="20"/>
              </w:rPr>
              <w:lastRenderedPageBreak/>
              <w:t>The PUSH Spatial Position Statement (</w:t>
            </w:r>
            <w:hyperlink r:id="rId8" w:history="1">
              <w:r w:rsidRPr="00DB09AF">
                <w:rPr>
                  <w:rStyle w:val="Hyperlink"/>
                  <w:rFonts w:ascii="Arial" w:hAnsi="Arial" w:cs="Arial"/>
                  <w:sz w:val="20"/>
                  <w:szCs w:val="20"/>
                </w:rPr>
                <w:t>https://www.push.gov.uk/work/planning-and-infrastructure/push-position-statement/</w:t>
              </w:r>
            </w:hyperlink>
            <w:r>
              <w:rPr>
                <w:rFonts w:ascii="Arial" w:hAnsi="Arial" w:cs="Arial"/>
                <w:sz w:val="20"/>
                <w:szCs w:val="20"/>
              </w:rPr>
              <w:t>) sets out the scale and distribution of housebuilding which is being planned for across South Hampshire.</w:t>
            </w:r>
          </w:p>
        </w:tc>
      </w:tr>
      <w:tr w:rsidR="001071FC" w:rsidRPr="00C6619F" w14:paraId="1E90D992" w14:textId="77777777" w:rsidTr="00741821">
        <w:tc>
          <w:tcPr>
            <w:tcW w:w="9608" w:type="dxa"/>
            <w:gridSpan w:val="3"/>
            <w:tcBorders>
              <w:top w:val="single" w:sz="12" w:space="0" w:color="0083BE"/>
              <w:left w:val="nil"/>
              <w:bottom w:val="single" w:sz="12" w:space="0" w:color="0083BE"/>
              <w:right w:val="nil"/>
            </w:tcBorders>
          </w:tcPr>
          <w:p w14:paraId="5D22E3FA" w14:textId="28DCDBC1" w:rsidR="00F87826" w:rsidRPr="00B25729" w:rsidRDefault="00F87826" w:rsidP="00741821">
            <w:pPr>
              <w:spacing w:line="276" w:lineRule="auto"/>
              <w:rPr>
                <w:rFonts w:ascii="Arial" w:hAnsi="Arial" w:cs="Arial"/>
              </w:rPr>
            </w:pPr>
          </w:p>
        </w:tc>
      </w:tr>
      <w:tr w:rsidR="001071FC" w:rsidRPr="00C6619F" w14:paraId="70BCF16E" w14:textId="77777777" w:rsidTr="00741821">
        <w:tc>
          <w:tcPr>
            <w:tcW w:w="9608" w:type="dxa"/>
            <w:gridSpan w:val="3"/>
            <w:tcBorders>
              <w:top w:val="single" w:sz="12" w:space="0" w:color="0083BE"/>
            </w:tcBorders>
            <w:shd w:val="clear" w:color="auto" w:fill="0083BE"/>
          </w:tcPr>
          <w:p w14:paraId="35F77129"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t>S</w:t>
            </w:r>
            <w:r>
              <w:rPr>
                <w:rFonts w:ascii="Arial" w:hAnsi="Arial" w:cs="Arial"/>
                <w:b/>
                <w:color w:val="FFFFFF"/>
                <w:sz w:val="22"/>
                <w:szCs w:val="22"/>
              </w:rPr>
              <w:t>tage</w:t>
            </w:r>
            <w:r w:rsidRPr="00B25729">
              <w:rPr>
                <w:rFonts w:ascii="Arial" w:hAnsi="Arial" w:cs="Arial"/>
                <w:b/>
                <w:color w:val="FFFFFF"/>
                <w:sz w:val="22"/>
                <w:szCs w:val="22"/>
              </w:rPr>
              <w:t xml:space="preserve"> 2 - HRA screening </w:t>
            </w:r>
            <w:r>
              <w:rPr>
                <w:rFonts w:ascii="Arial" w:hAnsi="Arial" w:cs="Arial"/>
                <w:b/>
                <w:color w:val="FFFFFF"/>
                <w:sz w:val="22"/>
                <w:szCs w:val="22"/>
              </w:rPr>
              <w:t>assessment</w:t>
            </w:r>
          </w:p>
        </w:tc>
      </w:tr>
      <w:tr w:rsidR="001071FC" w:rsidRPr="00C6619F" w14:paraId="26A55FF0" w14:textId="77777777" w:rsidTr="00741821">
        <w:tc>
          <w:tcPr>
            <w:tcW w:w="9608" w:type="dxa"/>
            <w:gridSpan w:val="3"/>
            <w:shd w:val="clear" w:color="auto" w:fill="DAE7EE"/>
          </w:tcPr>
          <w:p w14:paraId="1B870A5D" w14:textId="77777777" w:rsidR="001071FC" w:rsidRPr="00160247" w:rsidRDefault="00834B23" w:rsidP="00741821">
            <w:pPr>
              <w:spacing w:line="276" w:lineRule="auto"/>
              <w:rPr>
                <w:rFonts w:ascii="Arial" w:hAnsi="Arial" w:cs="Arial"/>
              </w:rPr>
            </w:pPr>
            <w:r>
              <w:rPr>
                <w:rFonts w:ascii="Arial" w:hAnsi="Arial" w:cs="Arial"/>
                <w:sz w:val="22"/>
                <w:szCs w:val="22"/>
              </w:rPr>
              <w:t>Screening under Regulation 63(1)(a) of the Habitats Regulations</w:t>
            </w:r>
            <w:r w:rsidR="001071FC" w:rsidRPr="00160247">
              <w:rPr>
                <w:rFonts w:ascii="Arial" w:hAnsi="Arial" w:cs="Arial"/>
                <w:sz w:val="22"/>
                <w:szCs w:val="22"/>
              </w:rPr>
              <w:t xml:space="preserve"> –</w:t>
            </w:r>
            <w:r w:rsidR="001071FC">
              <w:rPr>
                <w:rFonts w:ascii="Arial" w:hAnsi="Arial" w:cs="Arial"/>
                <w:sz w:val="22"/>
                <w:szCs w:val="22"/>
              </w:rPr>
              <w:t xml:space="preserve"> The </w:t>
            </w:r>
            <w:r w:rsidR="001071FC" w:rsidRPr="00160247">
              <w:rPr>
                <w:rFonts w:ascii="Arial" w:hAnsi="Arial" w:cs="Arial"/>
                <w:sz w:val="22"/>
                <w:szCs w:val="22"/>
              </w:rPr>
              <w:t xml:space="preserve">Applicant to provide </w:t>
            </w:r>
            <w:r w:rsidR="001071FC">
              <w:rPr>
                <w:rFonts w:ascii="Arial" w:hAnsi="Arial" w:cs="Arial"/>
                <w:sz w:val="22"/>
                <w:szCs w:val="22"/>
              </w:rPr>
              <w:t>evidence so that a judgement can be made as to whether there could be any po</w:t>
            </w:r>
            <w:r w:rsidR="001071FC" w:rsidRPr="00160247">
              <w:rPr>
                <w:rFonts w:ascii="Arial" w:hAnsi="Arial" w:cs="Arial"/>
                <w:sz w:val="22"/>
                <w:szCs w:val="22"/>
              </w:rPr>
              <w:t>tential significant impacts</w:t>
            </w:r>
            <w:r w:rsidR="001071FC">
              <w:rPr>
                <w:rFonts w:ascii="Arial" w:hAnsi="Arial" w:cs="Arial"/>
                <w:sz w:val="22"/>
                <w:szCs w:val="22"/>
              </w:rPr>
              <w:t xml:space="preserve"> of the development on the integrity of the SPA/SAC/Ramsar</w:t>
            </w:r>
            <w:r w:rsidR="001071FC" w:rsidRPr="00160247">
              <w:rPr>
                <w:rFonts w:ascii="Arial" w:hAnsi="Arial" w:cs="Arial"/>
                <w:sz w:val="22"/>
                <w:szCs w:val="22"/>
              </w:rPr>
              <w:t>.</w:t>
            </w:r>
          </w:p>
        </w:tc>
      </w:tr>
      <w:tr w:rsidR="001071FC" w:rsidRPr="00B25729" w14:paraId="1D733F5F" w14:textId="77777777" w:rsidTr="00741821">
        <w:tc>
          <w:tcPr>
            <w:tcW w:w="9608" w:type="dxa"/>
            <w:gridSpan w:val="3"/>
          </w:tcPr>
          <w:p w14:paraId="186DA53F" w14:textId="593030BE" w:rsidR="009A3435" w:rsidRDefault="009A3435" w:rsidP="009A3435">
            <w:pPr>
              <w:spacing w:line="276" w:lineRule="auto"/>
              <w:rPr>
                <w:rFonts w:ascii="Arial" w:hAnsi="Arial" w:cs="Arial"/>
                <w:b/>
                <w:sz w:val="22"/>
                <w:szCs w:val="22"/>
              </w:rPr>
            </w:pPr>
            <w:r>
              <w:rPr>
                <w:rFonts w:ascii="Arial" w:hAnsi="Arial" w:cs="Arial"/>
                <w:b/>
                <w:sz w:val="22"/>
                <w:szCs w:val="22"/>
              </w:rPr>
              <w:t>Recreational Pressure</w:t>
            </w:r>
          </w:p>
          <w:p w14:paraId="70108B33" w14:textId="2B0BC3A6" w:rsidR="006942E8" w:rsidRPr="006942E8" w:rsidRDefault="006942E8" w:rsidP="006942E8">
            <w:pPr>
              <w:spacing w:after="160" w:line="276" w:lineRule="auto"/>
              <w:rPr>
                <w:rFonts w:ascii="Arial" w:eastAsiaTheme="minorHAnsi" w:hAnsi="Arial" w:cs="Arial"/>
                <w:b/>
                <w:bCs/>
                <w:sz w:val="20"/>
                <w:szCs w:val="20"/>
                <w:lang w:eastAsia="en-US"/>
              </w:rPr>
            </w:pPr>
            <w:r w:rsidRPr="006942E8">
              <w:rPr>
                <w:rFonts w:ascii="Arial" w:eastAsiaTheme="minorHAnsi" w:hAnsi="Arial" w:cs="Arial"/>
                <w:sz w:val="20"/>
                <w:szCs w:val="20"/>
                <w:lang w:eastAsia="en-US"/>
              </w:rPr>
              <w:t xml:space="preserve">The proposed development is within 5.6km of Chichester &amp; Langstone Harbours SPA/Ramsar. In accordance with advice from Natural England and as detailed in Policy DM24 of the adopted Havant Borough Local Plan (Allocations) and the Solent Recreation Mitigation Strategy, a net increase in housing development within 5.6km of the Solent SPAs is likely to result in impacts to the integrity of those sites through a consequent increase in recreational disturbance. </w:t>
            </w:r>
          </w:p>
          <w:p w14:paraId="67F90CFF" w14:textId="7D5D9423" w:rsidR="006942E8" w:rsidRPr="006942E8" w:rsidRDefault="006942E8" w:rsidP="006942E8">
            <w:pPr>
              <w:spacing w:after="160" w:line="276" w:lineRule="auto"/>
              <w:rPr>
                <w:rFonts w:ascii="Arial" w:eastAsiaTheme="minorHAnsi" w:hAnsi="Arial" w:cs="Arial"/>
                <w:b/>
                <w:bCs/>
                <w:sz w:val="20"/>
                <w:szCs w:val="20"/>
                <w:lang w:eastAsia="en-US"/>
              </w:rPr>
            </w:pPr>
            <w:r w:rsidRPr="006942E8">
              <w:rPr>
                <w:rFonts w:ascii="Arial" w:eastAsiaTheme="minorHAnsi" w:hAnsi="Arial" w:cs="Arial"/>
                <w:sz w:val="20"/>
                <w:szCs w:val="20"/>
                <w:lang w:eastAsia="en-US"/>
              </w:rPr>
              <w:t>Development within the 5.6km zone will increase the human population at the coast and thus increase the level of recreation and disturbance of bird species. The impacts of recreational disturbance (both at the site-scale and in combination with other development in the Solent area) are analogous to impacts from direct habitat loss as recreation can cause important habitat to be unavailable for use (the habitat is functionally lost, either permanently or for a defined period). Birds can be displaced by human recreational activities (terrestrial and water-based) and use valuable resources in finding suitable areas in which to rest and feed undisturbed. Ultimately, the impacts of recreational disturbance can be such that they affect the status and distribution of key bird species and therefore act against the stated conservation objectives of the Chichester and Langstone Harbour SPA and Ramsar sites.</w:t>
            </w:r>
          </w:p>
          <w:p w14:paraId="06C8669B" w14:textId="0A0904F2" w:rsidR="006942E8" w:rsidRPr="006942E8" w:rsidRDefault="006942E8" w:rsidP="006942E8">
            <w:pPr>
              <w:spacing w:after="160" w:line="276" w:lineRule="auto"/>
              <w:rPr>
                <w:rFonts w:ascii="Arial" w:eastAsiaTheme="minorHAnsi" w:hAnsi="Arial" w:cs="Arial"/>
                <w:b/>
                <w:bCs/>
                <w:sz w:val="20"/>
                <w:szCs w:val="20"/>
                <w:lang w:eastAsia="en-US"/>
              </w:rPr>
            </w:pPr>
            <w:r w:rsidRPr="006942E8">
              <w:rPr>
                <w:rFonts w:ascii="Arial" w:eastAsiaTheme="minorHAnsi" w:hAnsi="Arial" w:cs="Arial"/>
                <w:sz w:val="20"/>
                <w:szCs w:val="20"/>
                <w:lang w:eastAsia="en-US"/>
              </w:rPr>
              <w:t>The proposed development represents a net increase in residential dwellings. Paragraph 6.4 of the Solent Recreation Mitigation Strategy sets out that the “developer contribution will be required for every net additional dwelling within 5.6 kilometres of the boundaries of the Solent Special Protection Areas” (see para 6.3).</w:t>
            </w:r>
          </w:p>
          <w:p w14:paraId="28CAC423" w14:textId="511503A7" w:rsidR="00622604" w:rsidRDefault="006942E8" w:rsidP="006942E8">
            <w:pPr>
              <w:spacing w:line="276" w:lineRule="auto"/>
              <w:rPr>
                <w:rFonts w:ascii="Arial" w:hAnsi="Arial" w:cs="Arial"/>
                <w:b/>
                <w:sz w:val="22"/>
                <w:szCs w:val="22"/>
              </w:rPr>
            </w:pPr>
            <w:r w:rsidRPr="006942E8">
              <w:rPr>
                <w:rFonts w:ascii="Arial" w:eastAsiaTheme="minorHAnsi" w:hAnsi="Arial" w:cs="Arial"/>
                <w:sz w:val="20"/>
                <w:szCs w:val="20"/>
                <w:lang w:eastAsia="en-US"/>
              </w:rPr>
              <w:t>As a result, there would be a likely significant effect to the Chichester &amp; Langstone Harbours SPA due to recreation.</w:t>
            </w:r>
          </w:p>
          <w:p w14:paraId="116F0DB5" w14:textId="0FE67162" w:rsidR="00622604" w:rsidRDefault="00622604" w:rsidP="009A3435">
            <w:pPr>
              <w:spacing w:line="276" w:lineRule="auto"/>
              <w:rPr>
                <w:rFonts w:ascii="Arial" w:hAnsi="Arial" w:cs="Arial"/>
                <w:b/>
                <w:sz w:val="22"/>
                <w:szCs w:val="22"/>
              </w:rPr>
            </w:pPr>
          </w:p>
          <w:p w14:paraId="72FEEAB1" w14:textId="77777777" w:rsidR="00622604" w:rsidRPr="00B973CB" w:rsidRDefault="00622604" w:rsidP="00622604">
            <w:pPr>
              <w:spacing w:line="276" w:lineRule="auto"/>
              <w:rPr>
                <w:rFonts w:ascii="Arial" w:hAnsi="Arial" w:cs="Arial"/>
                <w:b/>
                <w:sz w:val="22"/>
                <w:szCs w:val="22"/>
              </w:rPr>
            </w:pPr>
            <w:r>
              <w:rPr>
                <w:rFonts w:ascii="Arial" w:hAnsi="Arial" w:cs="Arial"/>
                <w:b/>
                <w:sz w:val="22"/>
                <w:szCs w:val="22"/>
              </w:rPr>
              <w:t>Water Quality</w:t>
            </w:r>
          </w:p>
          <w:p w14:paraId="4EEE63F3" w14:textId="77777777" w:rsidR="006942E8" w:rsidRPr="006942E8" w:rsidRDefault="006942E8" w:rsidP="006942E8">
            <w:pPr>
              <w:spacing w:after="160" w:line="276" w:lineRule="auto"/>
              <w:rPr>
                <w:rFonts w:ascii="Arial" w:hAnsi="Arial" w:cs="Arial"/>
                <w:b/>
                <w:bCs/>
                <w:sz w:val="20"/>
                <w:szCs w:val="20"/>
              </w:rPr>
            </w:pPr>
            <w:r w:rsidRPr="006942E8">
              <w:rPr>
                <w:rFonts w:ascii="Arial" w:hAnsi="Arial" w:cs="Arial"/>
                <w:sz w:val="20"/>
                <w:szCs w:val="20"/>
              </w:rPr>
              <w:t>The proposed development is within the catchment of a wastewater treatment works that would drain into the Chichester and Langstone Harbours SPA.</w:t>
            </w:r>
          </w:p>
          <w:p w14:paraId="2A7D33A0" w14:textId="77777777" w:rsidR="006942E8" w:rsidRPr="006942E8" w:rsidRDefault="006942E8" w:rsidP="006942E8">
            <w:pPr>
              <w:spacing w:after="160" w:line="276" w:lineRule="auto"/>
              <w:rPr>
                <w:rFonts w:ascii="Arial" w:hAnsi="Arial" w:cs="Arial"/>
                <w:b/>
                <w:bCs/>
                <w:sz w:val="20"/>
                <w:szCs w:val="20"/>
              </w:rPr>
            </w:pPr>
            <w:r w:rsidRPr="006942E8">
              <w:rPr>
                <w:rFonts w:ascii="Arial" w:hAnsi="Arial" w:cs="Arial"/>
                <w:sz w:val="20"/>
                <w:szCs w:val="20"/>
              </w:rPr>
              <w:t>Natural England advises that there is a likely significant effect on the Solent European Sites due to the increase in wastewater from the new housing as a result of the Havant Borough Local Plan. Natural England also advises that any development proposed through any planning application providing overnight accommodation which would discharge into the Solent would be likely to cause a significant effect as there is uncertainty as new housing in the Solent catchment could have an adverse effect on the Solent’s European Sites.</w:t>
            </w:r>
          </w:p>
          <w:p w14:paraId="20324C81" w14:textId="77777777" w:rsidR="006942E8" w:rsidRPr="006942E8" w:rsidRDefault="006942E8" w:rsidP="006942E8">
            <w:pPr>
              <w:spacing w:after="160" w:line="276" w:lineRule="auto"/>
              <w:rPr>
                <w:rFonts w:ascii="Arial" w:hAnsi="Arial" w:cs="Arial"/>
                <w:sz w:val="20"/>
                <w:szCs w:val="20"/>
              </w:rPr>
            </w:pPr>
          </w:p>
          <w:p w14:paraId="44ADC05D" w14:textId="77777777" w:rsidR="006942E8" w:rsidRPr="006942E8" w:rsidRDefault="006942E8" w:rsidP="006942E8">
            <w:pPr>
              <w:spacing w:after="160" w:line="276" w:lineRule="auto"/>
              <w:rPr>
                <w:rFonts w:ascii="Arial" w:hAnsi="Arial" w:cs="Arial"/>
                <w:b/>
                <w:bCs/>
                <w:sz w:val="20"/>
                <w:szCs w:val="20"/>
              </w:rPr>
            </w:pPr>
            <w:r w:rsidRPr="006942E8">
              <w:rPr>
                <w:rFonts w:ascii="Arial" w:hAnsi="Arial" w:cs="Arial"/>
                <w:sz w:val="20"/>
                <w:szCs w:val="20"/>
              </w:rPr>
              <w:t>Natural England advise that there is existing evidence of high levels of nitrogen and phosphorus in the Solent water environment with evidence of eutrophication at some designated sites. This causes eutrophication, which affects vegetation growth and food resources for qualifying species such that it affects the status and distribution of those species and therefore act against the stated conservation objectives of the Chichester and Langstone Harbour SPA and Ramsar sites. The Partnership for South Hampshire (</w:t>
            </w:r>
            <w:proofErr w:type="spellStart"/>
            <w:r w:rsidRPr="006942E8">
              <w:rPr>
                <w:rFonts w:ascii="Arial" w:hAnsi="Arial" w:cs="Arial"/>
                <w:sz w:val="20"/>
                <w:szCs w:val="20"/>
              </w:rPr>
              <w:t>PfSH</w:t>
            </w:r>
            <w:proofErr w:type="spellEnd"/>
            <w:r w:rsidRPr="006942E8">
              <w:rPr>
                <w:rFonts w:ascii="Arial" w:hAnsi="Arial" w:cs="Arial"/>
                <w:sz w:val="20"/>
                <w:szCs w:val="20"/>
              </w:rPr>
              <w:t xml:space="preserve">), Natural England (NE), and Environment Agency (EA) have been jointly working to develop an Integrated Water Management Strategy (IWMS). This examines the potential for the </w:t>
            </w:r>
            <w:proofErr w:type="spellStart"/>
            <w:r w:rsidRPr="006942E8">
              <w:rPr>
                <w:rFonts w:ascii="Arial" w:hAnsi="Arial" w:cs="Arial"/>
                <w:sz w:val="20"/>
                <w:szCs w:val="20"/>
              </w:rPr>
              <w:t>PfSH</w:t>
            </w:r>
            <w:proofErr w:type="spellEnd"/>
            <w:r w:rsidRPr="006942E8">
              <w:rPr>
                <w:rFonts w:ascii="Arial" w:hAnsi="Arial" w:cs="Arial"/>
                <w:sz w:val="20"/>
                <w:szCs w:val="20"/>
              </w:rPr>
              <w:t xml:space="preserve"> region to accommodate future housing growth without having a detrimental effect upon the water </w:t>
            </w:r>
            <w:r w:rsidRPr="006942E8">
              <w:rPr>
                <w:rFonts w:ascii="Arial" w:hAnsi="Arial" w:cs="Arial"/>
                <w:sz w:val="20"/>
                <w:szCs w:val="20"/>
              </w:rPr>
              <w:lastRenderedPageBreak/>
              <w:t>environment. There is currently uncertainty as to whether there is sufficient capacity to accommodate the new housing growth.</w:t>
            </w:r>
          </w:p>
          <w:p w14:paraId="5F46834A" w14:textId="01BB2CC5" w:rsidR="006942E8" w:rsidRPr="006942E8" w:rsidRDefault="006942E8" w:rsidP="006942E8">
            <w:pPr>
              <w:spacing w:after="160" w:line="276" w:lineRule="auto"/>
              <w:rPr>
                <w:rFonts w:ascii="Arial" w:hAnsi="Arial" w:cs="Arial"/>
                <w:b/>
                <w:bCs/>
                <w:sz w:val="20"/>
                <w:szCs w:val="20"/>
              </w:rPr>
            </w:pPr>
            <w:r w:rsidRPr="006942E8">
              <w:rPr>
                <w:rFonts w:ascii="Arial" w:hAnsi="Arial" w:cs="Arial"/>
                <w:sz w:val="20"/>
                <w:szCs w:val="20"/>
              </w:rPr>
              <w:t>Natural England recommends that any new proposals which include overnight accommodation have inevitable wastewater implications. These implications, and all other matters capable of having a significant effect on designated sites in the Solent, must be addressed in the ways required by Regulation 63 of the Habitats Regulations. Nonetheless, the existing use of the site can be taken into account and it is the ‘net’ nutrient emissions into European Sites that is critical.</w:t>
            </w:r>
          </w:p>
          <w:p w14:paraId="1C911EBB" w14:textId="04B1453B" w:rsidR="006942E8" w:rsidRPr="006942E8" w:rsidRDefault="006942E8" w:rsidP="006942E8">
            <w:pPr>
              <w:spacing w:after="160" w:line="276" w:lineRule="auto"/>
              <w:rPr>
                <w:rFonts w:ascii="Arial" w:hAnsi="Arial" w:cs="Arial"/>
                <w:b/>
                <w:bCs/>
                <w:sz w:val="20"/>
                <w:szCs w:val="20"/>
              </w:rPr>
            </w:pPr>
            <w:r w:rsidRPr="006942E8">
              <w:rPr>
                <w:rFonts w:ascii="Arial" w:hAnsi="Arial" w:cs="Arial"/>
                <w:sz w:val="20"/>
                <w:szCs w:val="20"/>
              </w:rPr>
              <w:t xml:space="preserve">This would need to be examined within an appropriate assessment and that the existing nutrient and conservation status of the receiving waters be taken into account. </w:t>
            </w:r>
          </w:p>
          <w:p w14:paraId="0654BC8F" w14:textId="77777777" w:rsidR="006942E8" w:rsidRPr="006942E8" w:rsidRDefault="006942E8" w:rsidP="006942E8">
            <w:pPr>
              <w:spacing w:after="160" w:line="276" w:lineRule="auto"/>
              <w:rPr>
                <w:rFonts w:ascii="Arial" w:hAnsi="Arial" w:cs="Arial"/>
                <w:b/>
                <w:bCs/>
                <w:sz w:val="20"/>
                <w:szCs w:val="20"/>
              </w:rPr>
            </w:pPr>
            <w:r w:rsidRPr="006942E8">
              <w:rPr>
                <w:rFonts w:ascii="Arial" w:hAnsi="Arial" w:cs="Arial"/>
                <w:sz w:val="20"/>
                <w:szCs w:val="20"/>
              </w:rPr>
              <w:t>As a result, there would be a likely significant effect to the following Solent European Sites due to water quality:</w:t>
            </w:r>
          </w:p>
          <w:p w14:paraId="7BD27E81" w14:textId="77777777" w:rsidR="006942E8" w:rsidRPr="006942E8" w:rsidRDefault="006942E8" w:rsidP="006942E8">
            <w:pPr>
              <w:numPr>
                <w:ilvl w:val="0"/>
                <w:numId w:val="4"/>
              </w:numPr>
              <w:spacing w:after="160" w:line="276" w:lineRule="auto"/>
              <w:ind w:left="274" w:hanging="141"/>
              <w:contextualSpacing/>
              <w:rPr>
                <w:rFonts w:ascii="Arial" w:hAnsi="Arial" w:cs="Arial"/>
                <w:b/>
                <w:bCs/>
                <w:sz w:val="20"/>
                <w:szCs w:val="20"/>
              </w:rPr>
            </w:pPr>
            <w:r w:rsidRPr="006942E8">
              <w:rPr>
                <w:rFonts w:ascii="Arial" w:hAnsi="Arial" w:cs="Arial"/>
                <w:sz w:val="20"/>
                <w:szCs w:val="20"/>
              </w:rPr>
              <w:t xml:space="preserve">Chichester &amp; Langstone Harbours Special Protection Area (SPA) </w:t>
            </w:r>
          </w:p>
          <w:p w14:paraId="554C22C8" w14:textId="77777777" w:rsidR="006942E8" w:rsidRPr="006942E8" w:rsidRDefault="006942E8" w:rsidP="006942E8">
            <w:pPr>
              <w:numPr>
                <w:ilvl w:val="0"/>
                <w:numId w:val="4"/>
              </w:numPr>
              <w:spacing w:after="160" w:line="276" w:lineRule="auto"/>
              <w:ind w:left="274" w:hanging="141"/>
              <w:contextualSpacing/>
              <w:rPr>
                <w:rFonts w:ascii="Arial" w:hAnsi="Arial" w:cs="Arial"/>
                <w:b/>
                <w:bCs/>
                <w:sz w:val="20"/>
                <w:szCs w:val="20"/>
              </w:rPr>
            </w:pPr>
            <w:r w:rsidRPr="006942E8">
              <w:rPr>
                <w:rFonts w:ascii="Arial" w:hAnsi="Arial" w:cs="Arial"/>
                <w:sz w:val="20"/>
                <w:szCs w:val="20"/>
              </w:rPr>
              <w:t>Chichester &amp; Langstone Harbours Ramsar site</w:t>
            </w:r>
          </w:p>
          <w:p w14:paraId="64DF3FAD" w14:textId="77777777" w:rsidR="006942E8" w:rsidRPr="006942E8" w:rsidRDefault="006942E8" w:rsidP="006942E8">
            <w:pPr>
              <w:numPr>
                <w:ilvl w:val="0"/>
                <w:numId w:val="4"/>
              </w:numPr>
              <w:spacing w:after="160" w:line="276" w:lineRule="auto"/>
              <w:ind w:left="274" w:hanging="141"/>
              <w:contextualSpacing/>
              <w:rPr>
                <w:rFonts w:ascii="Arial" w:hAnsi="Arial" w:cs="Arial"/>
                <w:b/>
                <w:bCs/>
                <w:sz w:val="20"/>
                <w:szCs w:val="20"/>
              </w:rPr>
            </w:pPr>
            <w:r w:rsidRPr="006942E8">
              <w:rPr>
                <w:rFonts w:ascii="Arial" w:hAnsi="Arial" w:cs="Arial"/>
                <w:sz w:val="20"/>
                <w:szCs w:val="20"/>
              </w:rPr>
              <w:t>Solent Maritime Special Area of Conservation (SAC)</w:t>
            </w:r>
          </w:p>
          <w:p w14:paraId="639AB4B3" w14:textId="77777777" w:rsidR="006942E8" w:rsidRPr="006942E8" w:rsidRDefault="006942E8" w:rsidP="006942E8">
            <w:pPr>
              <w:numPr>
                <w:ilvl w:val="0"/>
                <w:numId w:val="4"/>
              </w:numPr>
              <w:spacing w:after="160" w:line="276" w:lineRule="auto"/>
              <w:ind w:left="274" w:hanging="141"/>
              <w:contextualSpacing/>
              <w:rPr>
                <w:rFonts w:ascii="Arial" w:hAnsi="Arial" w:cs="Arial"/>
                <w:b/>
                <w:bCs/>
                <w:sz w:val="20"/>
                <w:szCs w:val="20"/>
              </w:rPr>
            </w:pPr>
            <w:r w:rsidRPr="006942E8">
              <w:rPr>
                <w:rFonts w:ascii="Arial" w:hAnsi="Arial" w:cs="Arial"/>
                <w:sz w:val="20"/>
                <w:szCs w:val="20"/>
              </w:rPr>
              <w:t>Solent and Dorset Coast Special Protection Area (SPA)</w:t>
            </w:r>
          </w:p>
          <w:p w14:paraId="41132399" w14:textId="77777777" w:rsidR="006942E8" w:rsidRPr="006942E8" w:rsidRDefault="006942E8" w:rsidP="006942E8">
            <w:pPr>
              <w:numPr>
                <w:ilvl w:val="0"/>
                <w:numId w:val="4"/>
              </w:numPr>
              <w:spacing w:after="160" w:line="276" w:lineRule="auto"/>
              <w:ind w:left="274" w:hanging="141"/>
              <w:contextualSpacing/>
              <w:rPr>
                <w:rFonts w:ascii="Arial" w:hAnsi="Arial" w:cs="Arial"/>
                <w:b/>
                <w:bCs/>
                <w:sz w:val="20"/>
                <w:szCs w:val="20"/>
              </w:rPr>
            </w:pPr>
            <w:r w:rsidRPr="006942E8">
              <w:rPr>
                <w:rFonts w:ascii="Arial" w:hAnsi="Arial" w:cs="Arial"/>
                <w:sz w:val="20"/>
                <w:szCs w:val="20"/>
              </w:rPr>
              <w:t>Solent and Southampton Water SPA</w:t>
            </w:r>
          </w:p>
          <w:p w14:paraId="164985FE" w14:textId="77777777" w:rsidR="006942E8" w:rsidRPr="006942E8" w:rsidRDefault="006942E8" w:rsidP="006942E8">
            <w:pPr>
              <w:numPr>
                <w:ilvl w:val="0"/>
                <w:numId w:val="4"/>
              </w:numPr>
              <w:spacing w:after="160" w:line="276" w:lineRule="auto"/>
              <w:ind w:left="274" w:hanging="141"/>
              <w:contextualSpacing/>
              <w:rPr>
                <w:rFonts w:ascii="Arial" w:hAnsi="Arial" w:cs="Arial"/>
                <w:b/>
                <w:bCs/>
                <w:sz w:val="20"/>
                <w:szCs w:val="20"/>
              </w:rPr>
            </w:pPr>
            <w:r w:rsidRPr="006942E8">
              <w:rPr>
                <w:rFonts w:ascii="Arial" w:hAnsi="Arial" w:cs="Arial"/>
                <w:sz w:val="20"/>
                <w:szCs w:val="20"/>
              </w:rPr>
              <w:t>Solent and Southampton Water Ramsar</w:t>
            </w:r>
          </w:p>
          <w:p w14:paraId="1DA619D9" w14:textId="77777777" w:rsidR="006942E8" w:rsidRPr="006942E8" w:rsidRDefault="006942E8" w:rsidP="006942E8">
            <w:pPr>
              <w:numPr>
                <w:ilvl w:val="0"/>
                <w:numId w:val="4"/>
              </w:numPr>
              <w:spacing w:after="160" w:line="276" w:lineRule="auto"/>
              <w:ind w:left="274" w:hanging="141"/>
              <w:contextualSpacing/>
              <w:rPr>
                <w:rFonts w:ascii="Arial" w:hAnsi="Arial" w:cs="Arial"/>
                <w:b/>
                <w:bCs/>
                <w:sz w:val="20"/>
                <w:szCs w:val="20"/>
              </w:rPr>
            </w:pPr>
            <w:r w:rsidRPr="006942E8">
              <w:rPr>
                <w:rFonts w:ascii="Arial" w:hAnsi="Arial" w:cs="Arial"/>
                <w:sz w:val="20"/>
                <w:szCs w:val="20"/>
              </w:rPr>
              <w:t>Portsmouth Harbour SPA</w:t>
            </w:r>
          </w:p>
          <w:p w14:paraId="083A52A2" w14:textId="77777777" w:rsidR="006942E8" w:rsidRPr="006942E8" w:rsidRDefault="006942E8" w:rsidP="006942E8">
            <w:pPr>
              <w:numPr>
                <w:ilvl w:val="0"/>
                <w:numId w:val="4"/>
              </w:numPr>
              <w:spacing w:after="160" w:line="276" w:lineRule="auto"/>
              <w:ind w:left="274" w:hanging="141"/>
              <w:contextualSpacing/>
              <w:rPr>
                <w:rFonts w:ascii="Arial" w:hAnsi="Arial" w:cs="Arial"/>
                <w:b/>
                <w:bCs/>
                <w:sz w:val="20"/>
                <w:szCs w:val="20"/>
              </w:rPr>
            </w:pPr>
            <w:r w:rsidRPr="006942E8">
              <w:rPr>
                <w:rFonts w:ascii="Arial" w:hAnsi="Arial" w:cs="Arial"/>
                <w:sz w:val="20"/>
                <w:szCs w:val="20"/>
              </w:rPr>
              <w:t>Portsmouth Harbour Ramsar</w:t>
            </w:r>
          </w:p>
          <w:p w14:paraId="5CF331FE" w14:textId="4B1E978E" w:rsidR="00FF4EBB" w:rsidRPr="006942E8" w:rsidRDefault="006942E8" w:rsidP="00FF4EBB">
            <w:pPr>
              <w:numPr>
                <w:ilvl w:val="0"/>
                <w:numId w:val="4"/>
              </w:numPr>
              <w:spacing w:after="160" w:line="276" w:lineRule="auto"/>
              <w:ind w:left="274" w:hanging="141"/>
              <w:contextualSpacing/>
              <w:rPr>
                <w:rFonts w:ascii="Arial" w:hAnsi="Arial" w:cs="Arial"/>
                <w:sz w:val="20"/>
                <w:szCs w:val="20"/>
              </w:rPr>
            </w:pPr>
            <w:r w:rsidRPr="006942E8">
              <w:rPr>
                <w:rFonts w:ascii="Arial" w:hAnsi="Arial" w:cs="Arial"/>
                <w:sz w:val="20"/>
                <w:szCs w:val="20"/>
              </w:rPr>
              <w:t>Solent and Isle of Wight Lagoons SAC</w:t>
            </w:r>
            <w:r>
              <w:rPr>
                <w:rFonts w:ascii="Arial" w:hAnsi="Arial" w:cs="Arial"/>
                <w:sz w:val="20"/>
                <w:szCs w:val="20"/>
              </w:rPr>
              <w:t>.</w:t>
            </w:r>
          </w:p>
          <w:p w14:paraId="4C3EC923" w14:textId="77777777" w:rsidR="00622604" w:rsidRDefault="00622604" w:rsidP="00622604">
            <w:pPr>
              <w:spacing w:line="276" w:lineRule="auto"/>
              <w:rPr>
                <w:rFonts w:ascii="Arial" w:hAnsi="Arial" w:cs="Arial"/>
                <w:b/>
                <w:sz w:val="22"/>
                <w:szCs w:val="22"/>
              </w:rPr>
            </w:pPr>
          </w:p>
          <w:p w14:paraId="22C3F53B" w14:textId="77777777" w:rsidR="006942E8" w:rsidRDefault="00622604" w:rsidP="009A3435">
            <w:pPr>
              <w:spacing w:line="276" w:lineRule="auto"/>
              <w:rPr>
                <w:rFonts w:ascii="Arial" w:hAnsi="Arial" w:cs="Arial"/>
                <w:b/>
                <w:sz w:val="22"/>
                <w:szCs w:val="22"/>
              </w:rPr>
            </w:pPr>
            <w:r>
              <w:rPr>
                <w:rFonts w:ascii="Arial" w:hAnsi="Arial" w:cs="Arial"/>
                <w:b/>
                <w:sz w:val="22"/>
                <w:szCs w:val="22"/>
              </w:rPr>
              <w:t xml:space="preserve">Would the proposal lead to a likely significant effect on European site integrity? </w:t>
            </w:r>
          </w:p>
          <w:p w14:paraId="3747B97A" w14:textId="3FB5211C" w:rsidR="009A3435" w:rsidRPr="006942E8" w:rsidRDefault="00622604" w:rsidP="009A3435">
            <w:pPr>
              <w:spacing w:line="276" w:lineRule="auto"/>
              <w:rPr>
                <w:rFonts w:ascii="Arial" w:hAnsi="Arial" w:cs="Arial"/>
                <w:b/>
              </w:rPr>
            </w:pPr>
            <w:r>
              <w:rPr>
                <w:rFonts w:ascii="Arial" w:hAnsi="Arial" w:cs="Arial"/>
                <w:b/>
                <w:sz w:val="22"/>
                <w:szCs w:val="22"/>
              </w:rPr>
              <w:t>Yes, due to recreational pressure and water quality</w:t>
            </w:r>
            <w:r w:rsidR="00FF4EBB">
              <w:rPr>
                <w:rFonts w:ascii="Arial" w:hAnsi="Arial" w:cs="Arial"/>
                <w:b/>
                <w:sz w:val="22"/>
                <w:szCs w:val="22"/>
              </w:rPr>
              <w:t xml:space="preserve"> </w:t>
            </w:r>
            <w:r w:rsidR="00FF4EBB" w:rsidRPr="00FF4EBB">
              <w:rPr>
                <w:rFonts w:ascii="Arial" w:hAnsi="Arial" w:cs="Arial"/>
                <w:b/>
                <w:sz w:val="22"/>
                <w:szCs w:val="22"/>
              </w:rPr>
              <w:t>loss/degradation of supporting habitats and construction impacts.</w:t>
            </w:r>
          </w:p>
          <w:p w14:paraId="4430C145" w14:textId="55A35BE1" w:rsidR="001071FC" w:rsidRPr="00B25729" w:rsidRDefault="009A3435" w:rsidP="009A3435">
            <w:pPr>
              <w:spacing w:line="276" w:lineRule="auto"/>
              <w:rPr>
                <w:rFonts w:ascii="Arial" w:hAnsi="Arial" w:cs="Arial"/>
              </w:rPr>
            </w:pPr>
            <w:r w:rsidRPr="00E7065A">
              <w:rPr>
                <w:rFonts w:ascii="Arial" w:hAnsi="Arial" w:cs="Arial"/>
                <w:sz w:val="22"/>
                <w:szCs w:val="22"/>
              </w:rPr>
              <w:t>(If yes, continue to Stage 3)</w:t>
            </w:r>
            <w:r>
              <w:rPr>
                <w:rFonts w:ascii="Arial" w:hAnsi="Arial" w:cs="Arial"/>
                <w:sz w:val="22"/>
                <w:szCs w:val="22"/>
              </w:rPr>
              <w:t>.</w:t>
            </w:r>
          </w:p>
        </w:tc>
      </w:tr>
      <w:tr w:rsidR="001071FC" w:rsidRPr="00B25729" w14:paraId="2C9CC13E" w14:textId="77777777" w:rsidTr="00741821">
        <w:tc>
          <w:tcPr>
            <w:tcW w:w="9608" w:type="dxa"/>
            <w:gridSpan w:val="3"/>
            <w:tcBorders>
              <w:top w:val="single" w:sz="12" w:space="0" w:color="0083BE"/>
            </w:tcBorders>
            <w:shd w:val="clear" w:color="auto" w:fill="0083BE"/>
          </w:tcPr>
          <w:p w14:paraId="6952E80A"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lastRenderedPageBreak/>
              <w:t>S</w:t>
            </w:r>
            <w:r>
              <w:rPr>
                <w:rFonts w:ascii="Arial" w:hAnsi="Arial" w:cs="Arial"/>
                <w:b/>
                <w:color w:val="FFFFFF"/>
                <w:sz w:val="22"/>
                <w:szCs w:val="22"/>
              </w:rPr>
              <w:t>tage 3</w:t>
            </w:r>
            <w:r w:rsidRPr="00B25729">
              <w:rPr>
                <w:rFonts w:ascii="Arial" w:hAnsi="Arial" w:cs="Arial"/>
                <w:b/>
                <w:color w:val="FFFFFF"/>
                <w:sz w:val="22"/>
                <w:szCs w:val="22"/>
              </w:rPr>
              <w:t xml:space="preserve"> - </w:t>
            </w:r>
            <w:r>
              <w:rPr>
                <w:rFonts w:ascii="Arial" w:hAnsi="Arial" w:cs="Arial"/>
                <w:b/>
                <w:color w:val="FFFFFF"/>
                <w:sz w:val="22"/>
                <w:szCs w:val="22"/>
              </w:rPr>
              <w:t>Appropriate Assessment</w:t>
            </w:r>
          </w:p>
        </w:tc>
      </w:tr>
      <w:tr w:rsidR="001071FC" w:rsidRPr="00C6619F" w14:paraId="7AEC0B84" w14:textId="77777777" w:rsidTr="00741821">
        <w:tc>
          <w:tcPr>
            <w:tcW w:w="9608" w:type="dxa"/>
            <w:gridSpan w:val="3"/>
            <w:shd w:val="clear" w:color="auto" w:fill="DAE7EE"/>
          </w:tcPr>
          <w:p w14:paraId="14AE39CC" w14:textId="06EC894F" w:rsidR="001071FC" w:rsidRPr="004717F0" w:rsidRDefault="00834B23" w:rsidP="00741821">
            <w:pPr>
              <w:spacing w:line="276" w:lineRule="auto"/>
              <w:rPr>
                <w:rFonts w:ascii="Arial" w:hAnsi="Arial" w:cs="Arial"/>
              </w:rPr>
            </w:pPr>
            <w:r>
              <w:rPr>
                <w:rFonts w:ascii="Arial" w:hAnsi="Arial" w:cs="Arial"/>
                <w:sz w:val="22"/>
                <w:szCs w:val="22"/>
              </w:rPr>
              <w:t>Appropriate Assessment under Regulation 63(1) -</w:t>
            </w:r>
            <w:r w:rsidR="001071FC">
              <w:rPr>
                <w:rFonts w:ascii="Arial" w:hAnsi="Arial" w:cs="Arial"/>
                <w:sz w:val="22"/>
                <w:szCs w:val="22"/>
              </w:rPr>
              <w:t xml:space="preserve"> </w:t>
            </w:r>
            <w:r>
              <w:rPr>
                <w:rFonts w:ascii="Arial" w:hAnsi="Arial" w:cs="Arial"/>
                <w:sz w:val="22"/>
                <w:szCs w:val="22"/>
              </w:rPr>
              <w:t>i</w:t>
            </w:r>
            <w:r w:rsidR="001071FC">
              <w:rPr>
                <w:rFonts w:ascii="Arial" w:hAnsi="Arial" w:cs="Arial"/>
                <w:sz w:val="22"/>
                <w:szCs w:val="22"/>
              </w:rPr>
              <w:t xml:space="preserve">f there are any potential significant impacts, the applicant must provide evidence showing avoidance and/or mitigation measures to allow an Assessment to be made.  The Applicant must also provide details which demonstrate any </w:t>
            </w:r>
            <w:r w:rsidR="007F2D78">
              <w:rPr>
                <w:rFonts w:ascii="Arial" w:hAnsi="Arial" w:cs="Arial"/>
                <w:sz w:val="22"/>
                <w:szCs w:val="22"/>
              </w:rPr>
              <w:t>long-term</w:t>
            </w:r>
            <w:r w:rsidR="001071FC">
              <w:rPr>
                <w:rFonts w:ascii="Arial" w:hAnsi="Arial" w:cs="Arial"/>
                <w:sz w:val="22"/>
                <w:szCs w:val="22"/>
              </w:rPr>
              <w:t xml:space="preserve"> management, maintenance and funding of any solution.</w:t>
            </w:r>
          </w:p>
        </w:tc>
      </w:tr>
      <w:tr w:rsidR="001071FC" w:rsidRPr="00C6619F" w14:paraId="21D56155" w14:textId="77777777" w:rsidTr="00741821">
        <w:tc>
          <w:tcPr>
            <w:tcW w:w="9608" w:type="dxa"/>
            <w:gridSpan w:val="3"/>
          </w:tcPr>
          <w:p w14:paraId="4C82C0F0" w14:textId="49E38982" w:rsidR="001071FC" w:rsidRDefault="00944107" w:rsidP="00741821">
            <w:pPr>
              <w:spacing w:line="276" w:lineRule="auto"/>
              <w:rPr>
                <w:rFonts w:ascii="Arial" w:hAnsi="Arial" w:cs="Arial"/>
                <w:b/>
                <w:bCs/>
                <w:sz w:val="22"/>
                <w:szCs w:val="22"/>
              </w:rPr>
            </w:pPr>
            <w:r>
              <w:rPr>
                <w:rFonts w:ascii="Arial" w:hAnsi="Arial" w:cs="Arial"/>
                <w:b/>
                <w:bCs/>
                <w:sz w:val="22"/>
                <w:szCs w:val="22"/>
              </w:rPr>
              <w:t>Recreation Pressure</w:t>
            </w:r>
          </w:p>
          <w:p w14:paraId="2075C444" w14:textId="06916E53" w:rsidR="006942E8" w:rsidRPr="006942E8" w:rsidRDefault="006942E8" w:rsidP="006942E8">
            <w:pPr>
              <w:spacing w:after="160" w:line="276" w:lineRule="auto"/>
              <w:rPr>
                <w:rFonts w:ascii="Arial" w:hAnsi="Arial" w:cs="Arial"/>
                <w:sz w:val="20"/>
                <w:szCs w:val="20"/>
              </w:rPr>
            </w:pPr>
            <w:r w:rsidRPr="006942E8">
              <w:rPr>
                <w:rFonts w:ascii="Arial" w:hAnsi="Arial" w:cs="Arial"/>
                <w:sz w:val="20"/>
                <w:szCs w:val="20"/>
              </w:rPr>
              <w:t>The project being assessed would result in a net increase of dwellings within 5.6km of the Solent SPAs. In line with Policy DM24 of adopted Havant Borough Local Plan (Allocations) and the Solent Recreation Mitigation Strategy, a permanent significant effect on the Solent SPAs due to increase in recreational disturbance as a result of the new development, is likely. As such, in order to lawfully</w:t>
            </w:r>
            <w:r w:rsidRPr="006942E8">
              <w:rPr>
                <w:rFonts w:ascii="Arial" w:hAnsi="Arial" w:cs="Arial"/>
                <w:b/>
                <w:bCs/>
                <w:sz w:val="20"/>
                <w:szCs w:val="20"/>
              </w:rPr>
              <w:t xml:space="preserve"> </w:t>
            </w:r>
            <w:r w:rsidRPr="006942E8">
              <w:rPr>
                <w:rFonts w:ascii="Arial" w:hAnsi="Arial" w:cs="Arial"/>
                <w:sz w:val="20"/>
                <w:szCs w:val="20"/>
              </w:rPr>
              <w:t>be permitted, the development will</w:t>
            </w:r>
            <w:r w:rsidRPr="006942E8">
              <w:rPr>
                <w:rFonts w:ascii="Arial" w:hAnsi="Arial" w:cs="Arial"/>
                <w:b/>
                <w:bCs/>
                <w:sz w:val="20"/>
                <w:szCs w:val="20"/>
              </w:rPr>
              <w:t xml:space="preserve"> </w:t>
            </w:r>
            <w:r w:rsidRPr="006942E8">
              <w:rPr>
                <w:rFonts w:ascii="Arial" w:hAnsi="Arial" w:cs="Arial"/>
                <w:sz w:val="20"/>
                <w:szCs w:val="20"/>
              </w:rPr>
              <w:t>need</w:t>
            </w:r>
            <w:r w:rsidRPr="006942E8">
              <w:rPr>
                <w:rFonts w:ascii="Arial" w:hAnsi="Arial" w:cs="Arial"/>
                <w:b/>
                <w:bCs/>
                <w:sz w:val="20"/>
                <w:szCs w:val="20"/>
              </w:rPr>
              <w:t xml:space="preserve"> </w:t>
            </w:r>
            <w:r w:rsidRPr="006942E8">
              <w:rPr>
                <w:rFonts w:ascii="Arial" w:hAnsi="Arial" w:cs="Arial"/>
                <w:sz w:val="20"/>
                <w:szCs w:val="20"/>
              </w:rPr>
              <w:t>to include a package of avoidance and mitigation measures.</w:t>
            </w:r>
          </w:p>
          <w:p w14:paraId="05C2E7B8" w14:textId="14421463" w:rsidR="006942E8" w:rsidRPr="006942E8" w:rsidRDefault="006942E8" w:rsidP="006942E8">
            <w:pPr>
              <w:spacing w:after="160" w:line="276" w:lineRule="auto"/>
              <w:rPr>
                <w:rFonts w:ascii="Arial" w:hAnsi="Arial" w:cs="Arial"/>
                <w:sz w:val="20"/>
                <w:szCs w:val="20"/>
              </w:rPr>
            </w:pPr>
            <w:r w:rsidRPr="006942E8">
              <w:rPr>
                <w:rFonts w:ascii="Arial" w:hAnsi="Arial" w:cs="Arial"/>
                <w:sz w:val="20"/>
                <w:szCs w:val="20"/>
              </w:rPr>
              <w:t>Havant Borough Council formally adopted the Solent Recreation Mitigation Strategy in February 2018. The SRMS provides a strategic solution to ensure the requirements of the Habitats Regulations are met with regard to the in-combination effects of increased recreational pressure on the Solent SPAs arising from new residential development. This strategy represents a partnership approach to the issue which has been endorsed by Natural England.</w:t>
            </w:r>
          </w:p>
          <w:p w14:paraId="35F05120" w14:textId="4614D036" w:rsidR="006942E8" w:rsidRPr="006942E8" w:rsidRDefault="006942E8" w:rsidP="006942E8">
            <w:pPr>
              <w:spacing w:after="160" w:line="276" w:lineRule="auto"/>
              <w:rPr>
                <w:rFonts w:ascii="Arial" w:hAnsi="Arial" w:cs="Arial"/>
                <w:sz w:val="20"/>
                <w:szCs w:val="20"/>
              </w:rPr>
            </w:pPr>
            <w:r w:rsidRPr="006942E8">
              <w:rPr>
                <w:rFonts w:ascii="Arial" w:hAnsi="Arial" w:cs="Arial"/>
                <w:sz w:val="20"/>
                <w:szCs w:val="20"/>
              </w:rPr>
              <w:t xml:space="preserve">As set out in the Solent Recreation Mitigation Strategy, </w:t>
            </w:r>
            <w:r w:rsidRPr="006942E8">
              <w:rPr>
                <w:rFonts w:ascii="Arial" w:hAnsi="Arial" w:cs="Arial"/>
                <w:sz w:val="20"/>
                <w:szCs w:val="20"/>
                <w:u w:val="single"/>
              </w:rPr>
              <w:t xml:space="preserve">as of 1 April 2024 </w:t>
            </w:r>
            <w:r w:rsidRPr="006942E8">
              <w:rPr>
                <w:rFonts w:ascii="Arial" w:hAnsi="Arial" w:cs="Arial"/>
                <w:sz w:val="20"/>
                <w:szCs w:val="20"/>
              </w:rPr>
              <w:t>an appropriate scale of mitigation for this scheme would be:</w:t>
            </w:r>
            <w:r w:rsidRPr="006942E8">
              <w:rPr>
                <w:rFonts w:ascii="Arial" w:hAnsi="Arial" w:cs="Arial"/>
                <w:i/>
                <w:iCs/>
                <w:sz w:val="20"/>
                <w:szCs w:val="20"/>
              </w:rPr>
              <w:tab/>
            </w:r>
          </w:p>
          <w:bookmarkStart w:id="0" w:name="_MON_1658147270"/>
          <w:bookmarkEnd w:id="0"/>
          <w:p w14:paraId="4493449E" w14:textId="04711C0D" w:rsidR="006942E8" w:rsidRPr="006942E8" w:rsidRDefault="006942E8" w:rsidP="006942E8">
            <w:pPr>
              <w:spacing w:after="160" w:line="276" w:lineRule="auto"/>
              <w:rPr>
                <w:rFonts w:ascii="Arial" w:hAnsi="Arial" w:cs="Arial"/>
                <w:i/>
                <w:iCs/>
                <w:sz w:val="20"/>
                <w:szCs w:val="20"/>
              </w:rPr>
            </w:pPr>
            <w:r w:rsidRPr="006942E8">
              <w:rPr>
                <w:rFonts w:ascii="Arial" w:hAnsi="Arial" w:cs="Arial"/>
                <w:i/>
                <w:iCs/>
                <w:sz w:val="20"/>
                <w:szCs w:val="20"/>
              </w:rPr>
              <w:object w:dxaOrig="9844" w:dyaOrig="4328" w14:anchorId="3ADD51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492pt;height:3in" o:ole="">
                  <v:imagedata r:id="rId9" o:title=""/>
                </v:shape>
                <o:OLEObject Type="Embed" ProgID="Excel.Sheet.12" ShapeID="_x0000_i1032" DrawAspect="Content" ObjectID="_1791981667" r:id="rId10"/>
              </w:object>
            </w:r>
          </w:p>
          <w:p w14:paraId="2EFA5330" w14:textId="024DC0AB" w:rsidR="006942E8" w:rsidRPr="006942E8" w:rsidRDefault="006942E8" w:rsidP="006942E8">
            <w:pPr>
              <w:spacing w:after="160" w:line="276" w:lineRule="auto"/>
              <w:rPr>
                <w:rFonts w:ascii="Arial" w:hAnsi="Arial" w:cs="Arial"/>
                <w:sz w:val="20"/>
                <w:szCs w:val="20"/>
              </w:rPr>
            </w:pPr>
            <w:r w:rsidRPr="006942E8">
              <w:rPr>
                <w:rFonts w:ascii="Arial" w:hAnsi="Arial" w:cs="Arial"/>
                <w:sz w:val="20"/>
                <w:szCs w:val="20"/>
              </w:rPr>
              <w:t>Policy DM24 of the adopted Local Plan sets out the Council’s approach to securing the appropriate mitigation measures to address the in-combination impact of increased recreational disturbance arising from increased housing development. It states:</w:t>
            </w:r>
          </w:p>
          <w:p w14:paraId="0952454A" w14:textId="1FCE7382" w:rsidR="006942E8" w:rsidRPr="006942E8" w:rsidRDefault="006942E8" w:rsidP="006942E8">
            <w:pPr>
              <w:spacing w:after="160" w:line="276" w:lineRule="auto"/>
              <w:jc w:val="both"/>
              <w:rPr>
                <w:rFonts w:ascii="Arial" w:hAnsi="Arial" w:cs="Arial"/>
                <w:sz w:val="20"/>
                <w:szCs w:val="20"/>
              </w:rPr>
            </w:pPr>
            <w:r w:rsidRPr="006942E8">
              <w:rPr>
                <w:rFonts w:ascii="Arial" w:hAnsi="Arial" w:cs="Arial"/>
                <w:sz w:val="20"/>
                <w:szCs w:val="20"/>
              </w:rPr>
              <w:t>“Planning permission will be granted for residential developments that avoid or mitigate a likely significant effect on the SPAs, caused by recreational disturbance through the in-combination effect of net additional dwellings”</w:t>
            </w:r>
            <w:r>
              <w:rPr>
                <w:rFonts w:ascii="Arial" w:hAnsi="Arial" w:cs="Arial"/>
                <w:sz w:val="20"/>
                <w:szCs w:val="20"/>
              </w:rPr>
              <w:t>.</w:t>
            </w:r>
          </w:p>
          <w:p w14:paraId="391F1A5E" w14:textId="4E31F627" w:rsidR="00944107" w:rsidRPr="006942E8" w:rsidRDefault="006942E8" w:rsidP="006942E8">
            <w:pPr>
              <w:spacing w:after="160" w:line="276" w:lineRule="auto"/>
              <w:rPr>
                <w:rFonts w:ascii="Arial" w:hAnsi="Arial" w:cs="Arial"/>
                <w:sz w:val="20"/>
                <w:szCs w:val="20"/>
              </w:rPr>
            </w:pPr>
            <w:r w:rsidRPr="006942E8">
              <w:rPr>
                <w:rFonts w:ascii="Arial" w:hAnsi="Arial" w:cs="Arial"/>
                <w:sz w:val="20"/>
                <w:szCs w:val="20"/>
              </w:rPr>
              <w:t>A legal agreement will be necessary to secure the mitigation package. The applicant has confirmed through a European Site Avoidance and Mitigation Checklist that they commit to providing a mitigation package. Without the security of the mitigation being provided through a legal agreement, a significant effect would remain likely. As long as such a legal agreement is secured through the planning process, the proposed development will not affect the status and distribution of key bird species and therefore the development will not act against the stated conservation objectives of the European sites.</w:t>
            </w:r>
          </w:p>
          <w:p w14:paraId="264738C9" w14:textId="63005655" w:rsidR="00944107" w:rsidRPr="00944107" w:rsidRDefault="00944107" w:rsidP="00741821">
            <w:pPr>
              <w:spacing w:line="276" w:lineRule="auto"/>
              <w:rPr>
                <w:rFonts w:ascii="Arial" w:hAnsi="Arial" w:cs="Arial"/>
                <w:b/>
                <w:bCs/>
                <w:sz w:val="22"/>
                <w:szCs w:val="22"/>
              </w:rPr>
            </w:pPr>
            <w:r>
              <w:rPr>
                <w:rFonts w:ascii="Arial" w:hAnsi="Arial" w:cs="Arial"/>
                <w:b/>
                <w:bCs/>
                <w:sz w:val="22"/>
                <w:szCs w:val="22"/>
              </w:rPr>
              <w:t>Water Quality</w:t>
            </w:r>
          </w:p>
          <w:p w14:paraId="28A719D4" w14:textId="2C268720" w:rsidR="006942E8" w:rsidRPr="006942E8" w:rsidRDefault="006942E8" w:rsidP="006942E8">
            <w:pPr>
              <w:spacing w:after="160" w:line="276" w:lineRule="auto"/>
              <w:rPr>
                <w:rFonts w:ascii="Arial" w:eastAsiaTheme="minorHAnsi" w:hAnsi="Arial" w:cs="Arial"/>
                <w:sz w:val="20"/>
                <w:szCs w:val="20"/>
                <w:lang w:eastAsia="en-US"/>
              </w:rPr>
            </w:pPr>
            <w:r w:rsidRPr="006942E8">
              <w:rPr>
                <w:rFonts w:ascii="Arial" w:eastAsiaTheme="minorHAnsi" w:hAnsi="Arial" w:cs="Arial"/>
                <w:sz w:val="20"/>
                <w:szCs w:val="20"/>
                <w:lang w:eastAsia="en-US"/>
              </w:rPr>
              <w:t>The project being assessed would result in an increase in population in the catchment of several Solent European Sites as set out in stage 2. As advised by Natural England, a permanent significant effect on the Solent European Sites due to the decrease in water quality as a result of new development, is likely. As such, in order to lawfully be permitted, further assessment is needed as to the net nutrient emissions from the site, including any avoidance or mitigation measures proposed.</w:t>
            </w:r>
          </w:p>
          <w:p w14:paraId="05291C27" w14:textId="5D1A969D" w:rsidR="006942E8" w:rsidRPr="006942E8" w:rsidRDefault="006942E8" w:rsidP="006942E8">
            <w:pPr>
              <w:spacing w:after="160" w:line="276" w:lineRule="auto"/>
              <w:rPr>
                <w:rFonts w:ascii="Arial" w:eastAsiaTheme="minorHAnsi" w:hAnsi="Arial" w:cs="Arial"/>
                <w:sz w:val="20"/>
                <w:szCs w:val="20"/>
                <w:lang w:eastAsia="en-US"/>
              </w:rPr>
            </w:pPr>
            <w:r w:rsidRPr="006942E8">
              <w:rPr>
                <w:rFonts w:ascii="Arial" w:eastAsiaTheme="minorHAnsi" w:hAnsi="Arial" w:cs="Arial"/>
                <w:sz w:val="20"/>
                <w:szCs w:val="20"/>
                <w:lang w:eastAsia="en-US"/>
              </w:rPr>
              <w:t>Havant Borough Council has published a Position Statement and Mitigation Plan for Nutrient Neutral Development. This sets out how mitigation can be provided to enable development to take place within Havant Borough whilst avoiding any likelihood of a significant effect on the Solent European Sites identified in stage 2.</w:t>
            </w:r>
          </w:p>
          <w:p w14:paraId="7F11E89B" w14:textId="6010E385" w:rsidR="006942E8" w:rsidRPr="006942E8" w:rsidRDefault="006942E8" w:rsidP="006942E8">
            <w:pPr>
              <w:spacing w:after="160" w:line="276" w:lineRule="auto"/>
              <w:rPr>
                <w:rFonts w:ascii="Arial" w:eastAsiaTheme="minorHAnsi" w:hAnsi="Arial" w:cs="Arial"/>
                <w:sz w:val="20"/>
                <w:szCs w:val="20"/>
                <w:lang w:eastAsia="en-US"/>
              </w:rPr>
            </w:pPr>
            <w:r w:rsidRPr="006942E8">
              <w:rPr>
                <w:rFonts w:ascii="Arial" w:eastAsiaTheme="minorHAnsi" w:hAnsi="Arial" w:cs="Arial"/>
                <w:sz w:val="20"/>
                <w:szCs w:val="20"/>
                <w:lang w:eastAsia="en-US"/>
              </w:rPr>
              <w:t>Natural England have produced guidance for developers and mitigation providers. This can be found on the Council’s nutrient neutrality webpage. This sets out a methodology to calculate the nutrient emissions from a development site. The Council has also produced advice on the occupancy figure which should be used within Natural England’s calculator this can be found in the Council’s published Position Statement and Mitigation Plan. The applicant has used and submitted the Council’s occupancy calculator and Natural England’s calculator as part of an overall nutrient budget. This calculation has confirmed that the site will emit a nutrient load into European Sites. The calculations for this development site are part of the applications case file.</w:t>
            </w:r>
          </w:p>
          <w:p w14:paraId="6D15850E" w14:textId="77777777" w:rsidR="006942E8" w:rsidRPr="006942E8" w:rsidRDefault="006942E8" w:rsidP="006942E8">
            <w:pPr>
              <w:spacing w:after="160" w:line="276" w:lineRule="auto"/>
              <w:rPr>
                <w:rFonts w:ascii="Arial" w:eastAsiaTheme="minorHAnsi" w:hAnsi="Arial" w:cs="Arial"/>
                <w:sz w:val="20"/>
                <w:szCs w:val="20"/>
                <w:lang w:eastAsia="en-US"/>
              </w:rPr>
            </w:pPr>
            <w:r w:rsidRPr="006942E8">
              <w:rPr>
                <w:rFonts w:ascii="Arial" w:eastAsiaTheme="minorHAnsi" w:hAnsi="Arial" w:cs="Arial"/>
                <w:sz w:val="20"/>
                <w:szCs w:val="20"/>
                <w:lang w:eastAsia="en-US"/>
              </w:rPr>
              <w:t>Achieving a position where there are no net nutrient emissions into the Solent European Sites from this development involves the use of a specific on-site avoidance measure as well as the use of Warblington Farm as a specific off-site mitigation measure. The scientific report ‘Review of the Warblington Farm Mitigation Option for Nutrient Neutral Development in the Havant Borough’ is available at www.havant.gov.uk/nitrogen which confirms suitability of the use of Warblington for nutrient mitigation to mitigate for development in Havant Borough.</w:t>
            </w:r>
          </w:p>
          <w:p w14:paraId="712CACF4" w14:textId="77777777" w:rsidR="006942E8" w:rsidRPr="006942E8" w:rsidRDefault="006942E8" w:rsidP="006942E8">
            <w:pPr>
              <w:spacing w:after="160" w:line="276" w:lineRule="auto"/>
              <w:rPr>
                <w:rFonts w:ascii="Arial" w:eastAsiaTheme="minorHAnsi" w:hAnsi="Arial" w:cs="Arial"/>
                <w:sz w:val="20"/>
                <w:szCs w:val="20"/>
                <w:lang w:eastAsia="en-US"/>
              </w:rPr>
            </w:pPr>
            <w:r w:rsidRPr="006942E8">
              <w:rPr>
                <w:rFonts w:ascii="Arial" w:eastAsiaTheme="minorHAnsi" w:hAnsi="Arial" w:cs="Arial"/>
                <w:sz w:val="20"/>
                <w:szCs w:val="20"/>
                <w:lang w:eastAsia="en-US"/>
              </w:rPr>
              <w:lastRenderedPageBreak/>
              <w:t xml:space="preserve">As set out in the Position Statement and Mitigation Plan for Nutrient Neutral Development, </w:t>
            </w:r>
            <w:r w:rsidRPr="006942E8">
              <w:rPr>
                <w:rFonts w:ascii="Arial" w:hAnsi="Arial" w:cs="Arial"/>
                <w:i/>
                <w:iCs/>
                <w:sz w:val="20"/>
                <w:szCs w:val="20"/>
                <w:u w:val="single"/>
              </w:rPr>
              <w:t xml:space="preserve"> as of 1 April 2024 </w:t>
            </w:r>
            <w:r w:rsidRPr="006942E8">
              <w:rPr>
                <w:rFonts w:ascii="Arial" w:eastAsiaTheme="minorHAnsi" w:hAnsi="Arial" w:cs="Arial"/>
                <w:sz w:val="20"/>
                <w:szCs w:val="20"/>
                <w:lang w:eastAsia="en-US"/>
              </w:rPr>
              <w:t>an appropriate scale of mitigation for this scheme would be:</w:t>
            </w:r>
          </w:p>
          <w:bookmarkStart w:id="1" w:name="_MON_1653989736"/>
          <w:bookmarkEnd w:id="1"/>
          <w:p w14:paraId="59F410E3" w14:textId="239870FF" w:rsidR="006942E8" w:rsidRPr="006942E8" w:rsidRDefault="00BA191D" w:rsidP="006942E8">
            <w:pPr>
              <w:spacing w:after="160" w:line="276" w:lineRule="auto"/>
              <w:rPr>
                <w:rFonts w:ascii="Arial" w:eastAsiaTheme="minorHAnsi" w:hAnsi="Arial" w:cs="Arial"/>
                <w:sz w:val="20"/>
                <w:szCs w:val="20"/>
                <w:lang w:eastAsia="en-US"/>
              </w:rPr>
            </w:pPr>
            <w:r w:rsidRPr="006942E8">
              <w:rPr>
                <w:rFonts w:ascii="Arial" w:eastAsiaTheme="minorHAnsi" w:hAnsi="Arial" w:cs="Arial"/>
                <w:sz w:val="20"/>
                <w:szCs w:val="20"/>
                <w:lang w:eastAsia="en-US"/>
              </w:rPr>
              <w:object w:dxaOrig="6671" w:dyaOrig="2773" w14:anchorId="3A68E9A3">
                <v:shape id="_x0000_i1038" type="#_x0000_t75" style="width:333pt;height:137.25pt" o:ole="">
                  <v:imagedata r:id="rId11" o:title=""/>
                </v:shape>
                <o:OLEObject Type="Embed" ProgID="Excel.Sheet.12" ShapeID="_x0000_i1038" DrawAspect="Content" ObjectID="_1791981668" r:id="rId12"/>
              </w:object>
            </w:r>
          </w:p>
          <w:p w14:paraId="3EF6EC55" w14:textId="02F54108" w:rsidR="003201AA" w:rsidRPr="003201AA" w:rsidRDefault="006942E8" w:rsidP="002C0485">
            <w:pPr>
              <w:spacing w:line="276" w:lineRule="auto"/>
              <w:rPr>
                <w:rFonts w:ascii="Arial" w:hAnsi="Arial" w:cs="Arial"/>
                <w:sz w:val="22"/>
                <w:szCs w:val="22"/>
              </w:rPr>
            </w:pPr>
            <w:r w:rsidRPr="006942E8">
              <w:rPr>
                <w:rFonts w:ascii="Arial" w:eastAsiaTheme="minorHAnsi" w:hAnsi="Arial" w:cs="Arial"/>
                <w:sz w:val="20"/>
                <w:szCs w:val="20"/>
                <w:lang w:eastAsia="en-US"/>
              </w:rPr>
              <w:t>A legal agreement will be necessary to secure this avoidance and mitigation package in perpetuity. Without the security of the mitigation being provided through a legal agreement, a significant effect would remain likely. As long as such a legal agreement is secured through the planning process, the proposed development will not affect the water quality of the Solent European Sites and therefore the development will not act against the stated conservation objectives of the Solent European Sites.</w:t>
            </w:r>
          </w:p>
        </w:tc>
      </w:tr>
      <w:tr w:rsidR="001071FC" w:rsidRPr="00B25729" w14:paraId="334F0006" w14:textId="77777777" w:rsidTr="00741821">
        <w:tc>
          <w:tcPr>
            <w:tcW w:w="9608" w:type="dxa"/>
            <w:gridSpan w:val="3"/>
            <w:tcBorders>
              <w:top w:val="single" w:sz="12" w:space="0" w:color="0083BE"/>
            </w:tcBorders>
            <w:shd w:val="clear" w:color="auto" w:fill="0083BE"/>
          </w:tcPr>
          <w:p w14:paraId="1203B54D"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lastRenderedPageBreak/>
              <w:t>S</w:t>
            </w:r>
            <w:r>
              <w:rPr>
                <w:rFonts w:ascii="Arial" w:hAnsi="Arial" w:cs="Arial"/>
                <w:b/>
                <w:color w:val="FFFFFF"/>
                <w:sz w:val="22"/>
                <w:szCs w:val="22"/>
              </w:rPr>
              <w:t>tage 4</w:t>
            </w:r>
            <w:r w:rsidRPr="00B25729">
              <w:rPr>
                <w:rFonts w:ascii="Arial" w:hAnsi="Arial" w:cs="Arial"/>
                <w:b/>
                <w:color w:val="FFFFFF"/>
                <w:sz w:val="22"/>
                <w:szCs w:val="22"/>
              </w:rPr>
              <w:t xml:space="preserve"> </w:t>
            </w:r>
            <w:r>
              <w:rPr>
                <w:rFonts w:ascii="Arial" w:hAnsi="Arial" w:cs="Arial"/>
                <w:b/>
                <w:color w:val="FFFFFF"/>
                <w:sz w:val="22"/>
                <w:szCs w:val="22"/>
              </w:rPr>
              <w:t>– Summary of the</w:t>
            </w:r>
            <w:r w:rsidRPr="00B25729">
              <w:rPr>
                <w:rFonts w:ascii="Arial" w:hAnsi="Arial" w:cs="Arial"/>
                <w:b/>
                <w:color w:val="FFFFFF"/>
                <w:sz w:val="22"/>
                <w:szCs w:val="22"/>
              </w:rPr>
              <w:t xml:space="preserve"> </w:t>
            </w:r>
            <w:r>
              <w:rPr>
                <w:rFonts w:ascii="Arial" w:hAnsi="Arial" w:cs="Arial"/>
                <w:b/>
                <w:color w:val="FFFFFF"/>
                <w:sz w:val="22"/>
                <w:szCs w:val="22"/>
              </w:rPr>
              <w:t>Appropriate Assessment (To be carried out by the Competent Authority (the local planning authority) in liaison with Natural England</w:t>
            </w:r>
          </w:p>
        </w:tc>
      </w:tr>
      <w:tr w:rsidR="001071FC" w:rsidRPr="00C6619F" w14:paraId="525874DE" w14:textId="77777777" w:rsidTr="00741821">
        <w:tc>
          <w:tcPr>
            <w:tcW w:w="9608" w:type="dxa"/>
            <w:gridSpan w:val="3"/>
          </w:tcPr>
          <w:p w14:paraId="2C34FB44" w14:textId="0A0FA543" w:rsidR="00BA191D" w:rsidRPr="00BA191D" w:rsidRDefault="00BA191D" w:rsidP="00BA191D">
            <w:pPr>
              <w:spacing w:after="160" w:line="276" w:lineRule="auto"/>
              <w:rPr>
                <w:rFonts w:ascii="Arial" w:eastAsiaTheme="minorHAnsi" w:hAnsi="Arial" w:cs="Arial"/>
                <w:sz w:val="20"/>
                <w:szCs w:val="20"/>
                <w:lang w:eastAsia="en-US"/>
              </w:rPr>
            </w:pPr>
            <w:r w:rsidRPr="00BA191D">
              <w:rPr>
                <w:rFonts w:ascii="Arial" w:eastAsiaTheme="minorHAnsi" w:hAnsi="Arial" w:cs="Arial"/>
                <w:sz w:val="20"/>
                <w:szCs w:val="20"/>
                <w:lang w:eastAsia="en-US"/>
              </w:rPr>
              <w:t>This assessment represents Havant Borough council’s Appropriate Assessment as a Competent Authority in accordance with requirements under Regulation 63 of The Conservation of Habitats and Species Regulations 2017 (as amended), Article 6 (3) of the Habitats Directive and having due regard to its duties under Section 40(1) of the NERC Act 2006 to the purpose of conserving biodiversity. Consideration of the Ramsar site/s is a matter of government policy set out in the National Planning Policy Framework.</w:t>
            </w:r>
          </w:p>
          <w:p w14:paraId="73C233BD" w14:textId="609C1956" w:rsidR="00BA191D" w:rsidRPr="00BA191D" w:rsidRDefault="00BA191D" w:rsidP="00BA191D">
            <w:pPr>
              <w:spacing w:after="160" w:line="276" w:lineRule="auto"/>
              <w:rPr>
                <w:rFonts w:ascii="Arial" w:eastAsiaTheme="minorHAnsi" w:hAnsi="Arial" w:cs="Arial"/>
                <w:sz w:val="20"/>
                <w:szCs w:val="20"/>
                <w:lang w:eastAsia="en-US"/>
              </w:rPr>
            </w:pPr>
            <w:r w:rsidRPr="00BA191D">
              <w:rPr>
                <w:rFonts w:ascii="Arial" w:eastAsiaTheme="minorHAnsi" w:hAnsi="Arial" w:cs="Arial"/>
                <w:sz w:val="20"/>
                <w:szCs w:val="20"/>
                <w:lang w:eastAsia="en-US"/>
              </w:rPr>
              <w:t xml:space="preserve">This assessment concludes that the application will have a likely significant effect in the absence of avoidance and mitigation measures on the above Solent European sites. </w:t>
            </w:r>
          </w:p>
          <w:p w14:paraId="68086CDD" w14:textId="5F84EFC0" w:rsidR="00BA191D" w:rsidRPr="00BA191D" w:rsidRDefault="00BA191D" w:rsidP="00BA191D">
            <w:pPr>
              <w:spacing w:after="160" w:line="276" w:lineRule="auto"/>
              <w:rPr>
                <w:rFonts w:ascii="Arial" w:eastAsiaTheme="minorHAnsi" w:hAnsi="Arial" w:cs="Arial"/>
                <w:sz w:val="20"/>
                <w:szCs w:val="20"/>
                <w:lang w:eastAsia="en-US"/>
              </w:rPr>
            </w:pPr>
            <w:r w:rsidRPr="00BA191D">
              <w:rPr>
                <w:rFonts w:ascii="Arial" w:eastAsiaTheme="minorHAnsi" w:hAnsi="Arial" w:cs="Arial"/>
                <w:sz w:val="20"/>
                <w:szCs w:val="20"/>
                <w:lang w:eastAsia="en-US"/>
              </w:rPr>
              <w:t>The authority has concluded that the adverse effects arising from the proposal are wholly consistent with the effects detailed in the Solent Recreation Mitigation Strategy with regards recreational disturbance. The adverse effects are also consistent with the effects detailed in the Position Statement and Mitigation Plan for Nutrient Neutral Development with regards water quality.</w:t>
            </w:r>
          </w:p>
          <w:p w14:paraId="52744A6F" w14:textId="09EE8E17" w:rsidR="00BD6E38" w:rsidRPr="00B25729" w:rsidRDefault="00BA191D" w:rsidP="002C0485">
            <w:pPr>
              <w:spacing w:line="276" w:lineRule="auto"/>
              <w:rPr>
                <w:rFonts w:ascii="Arial" w:hAnsi="Arial" w:cs="Arial"/>
              </w:rPr>
            </w:pPr>
            <w:r w:rsidRPr="00BA191D">
              <w:rPr>
                <w:rFonts w:ascii="Arial" w:eastAsiaTheme="minorHAnsi" w:hAnsi="Arial" w:cs="Arial"/>
                <w:sz w:val="20"/>
                <w:szCs w:val="20"/>
                <w:lang w:eastAsia="en-US"/>
              </w:rPr>
              <w:t>The authority’s assessment is that the application complies with these strategies and the potential to provide mitigation to remove the significant effects that otherwise would have been likely. It can therefore be concluded that there will be no adverse effect on the integrity of the designated sites identified above.</w:t>
            </w:r>
          </w:p>
        </w:tc>
      </w:tr>
      <w:tr w:rsidR="001071FC" w:rsidRPr="00C6619F" w14:paraId="5368D2B8" w14:textId="77777777" w:rsidTr="00741821">
        <w:tc>
          <w:tcPr>
            <w:tcW w:w="9608" w:type="dxa"/>
            <w:gridSpan w:val="3"/>
            <w:shd w:val="clear" w:color="auto" w:fill="DAE7EE"/>
          </w:tcPr>
          <w:p w14:paraId="26883BBF" w14:textId="77777777" w:rsidR="001071FC" w:rsidRPr="00AB55E3" w:rsidRDefault="001071FC" w:rsidP="00741821">
            <w:pPr>
              <w:spacing w:line="276" w:lineRule="auto"/>
              <w:rPr>
                <w:rFonts w:ascii="Arial" w:hAnsi="Arial" w:cs="Arial"/>
                <w:b/>
              </w:rPr>
            </w:pPr>
            <w:r>
              <w:rPr>
                <w:rFonts w:ascii="Arial" w:hAnsi="Arial" w:cs="Arial"/>
                <w:sz w:val="22"/>
                <w:szCs w:val="22"/>
              </w:rPr>
              <w:t xml:space="preserve">Natural </w:t>
            </w:r>
            <w:smartTag w:uri="urn:schemas-microsoft-com:office:smarttags" w:element="country-region">
              <w:smartTag w:uri="urn:schemas-microsoft-com:office:smarttags" w:element="place">
                <w:r>
                  <w:rPr>
                    <w:rFonts w:ascii="Arial" w:hAnsi="Arial" w:cs="Arial"/>
                    <w:sz w:val="22"/>
                    <w:szCs w:val="22"/>
                  </w:rPr>
                  <w:t>England</w:t>
                </w:r>
              </w:smartTag>
            </w:smartTag>
            <w:r>
              <w:rPr>
                <w:rFonts w:ascii="Arial" w:hAnsi="Arial" w:cs="Arial"/>
                <w:sz w:val="22"/>
                <w:szCs w:val="22"/>
              </w:rPr>
              <w:t xml:space="preserve"> Officer:</w:t>
            </w:r>
          </w:p>
        </w:tc>
      </w:tr>
      <w:tr w:rsidR="001071FC" w:rsidRPr="00C6619F" w14:paraId="6C967290" w14:textId="77777777" w:rsidTr="00741821">
        <w:tc>
          <w:tcPr>
            <w:tcW w:w="9608" w:type="dxa"/>
            <w:gridSpan w:val="3"/>
            <w:tcBorders>
              <w:bottom w:val="single" w:sz="12" w:space="0" w:color="0083BE"/>
            </w:tcBorders>
          </w:tcPr>
          <w:p w14:paraId="7768CFDB" w14:textId="77777777" w:rsidR="001071FC" w:rsidRDefault="001071FC" w:rsidP="00741821">
            <w:pPr>
              <w:spacing w:line="276" w:lineRule="auto"/>
              <w:rPr>
                <w:rFonts w:ascii="Arial" w:hAnsi="Arial" w:cs="Arial"/>
              </w:rPr>
            </w:pPr>
            <w:r>
              <w:rPr>
                <w:rFonts w:ascii="Arial" w:hAnsi="Arial" w:cs="Arial"/>
                <w:sz w:val="22"/>
                <w:szCs w:val="22"/>
              </w:rPr>
              <w:t>Summary of Natural England’s comments:</w:t>
            </w:r>
          </w:p>
          <w:p w14:paraId="0AFAFDCC" w14:textId="77777777" w:rsidR="001071FC" w:rsidRDefault="001071FC" w:rsidP="00741821">
            <w:pPr>
              <w:spacing w:line="276" w:lineRule="auto"/>
              <w:rPr>
                <w:rFonts w:ascii="Arial" w:hAnsi="Arial" w:cs="Arial"/>
              </w:rPr>
            </w:pPr>
          </w:p>
          <w:p w14:paraId="59E72AB0" w14:textId="77777777" w:rsidR="001071FC" w:rsidRDefault="001071FC" w:rsidP="00741821">
            <w:pPr>
              <w:spacing w:line="276" w:lineRule="auto"/>
              <w:rPr>
                <w:rFonts w:ascii="Arial" w:hAnsi="Arial" w:cs="Arial"/>
              </w:rPr>
            </w:pPr>
          </w:p>
          <w:p w14:paraId="145D88E4" w14:textId="77777777" w:rsidR="001071FC" w:rsidRDefault="001071FC" w:rsidP="00741821">
            <w:pPr>
              <w:spacing w:line="276" w:lineRule="auto"/>
              <w:rPr>
                <w:rFonts w:ascii="Arial" w:hAnsi="Arial" w:cs="Arial"/>
              </w:rPr>
            </w:pPr>
          </w:p>
          <w:p w14:paraId="63595C55" w14:textId="77777777" w:rsidR="001071FC" w:rsidRDefault="001071FC" w:rsidP="00741821">
            <w:pPr>
              <w:spacing w:line="276" w:lineRule="auto"/>
              <w:rPr>
                <w:rFonts w:ascii="Arial" w:hAnsi="Arial" w:cs="Arial"/>
              </w:rPr>
            </w:pPr>
          </w:p>
          <w:p w14:paraId="763809FC" w14:textId="77777777" w:rsidR="001071FC" w:rsidRDefault="001071FC" w:rsidP="00741821">
            <w:pPr>
              <w:spacing w:line="276" w:lineRule="auto"/>
              <w:rPr>
                <w:rFonts w:ascii="Arial" w:hAnsi="Arial" w:cs="Arial"/>
              </w:rPr>
            </w:pPr>
          </w:p>
          <w:p w14:paraId="5EE3F1F8" w14:textId="77777777" w:rsidR="007B59DF" w:rsidRDefault="007B59DF" w:rsidP="00741821">
            <w:pPr>
              <w:spacing w:line="276" w:lineRule="auto"/>
              <w:rPr>
                <w:rFonts w:ascii="Arial" w:hAnsi="Arial" w:cs="Arial"/>
              </w:rPr>
            </w:pPr>
          </w:p>
          <w:p w14:paraId="69C6A6CF" w14:textId="77777777" w:rsidR="001071FC" w:rsidRDefault="001071FC" w:rsidP="00741821">
            <w:pPr>
              <w:spacing w:line="276" w:lineRule="auto"/>
              <w:rPr>
                <w:rFonts w:ascii="Arial" w:hAnsi="Arial" w:cs="Arial"/>
              </w:rPr>
            </w:pPr>
          </w:p>
          <w:p w14:paraId="04FA4CBD" w14:textId="77777777" w:rsidR="001071FC" w:rsidRDefault="001071FC" w:rsidP="00741821">
            <w:pPr>
              <w:spacing w:line="276" w:lineRule="auto"/>
              <w:rPr>
                <w:rFonts w:ascii="Arial" w:hAnsi="Arial" w:cs="Arial"/>
              </w:rPr>
            </w:pPr>
          </w:p>
          <w:p w14:paraId="115E939A" w14:textId="77777777" w:rsidR="001071FC" w:rsidRDefault="001071FC" w:rsidP="00741821">
            <w:pPr>
              <w:spacing w:line="276" w:lineRule="auto"/>
              <w:rPr>
                <w:rFonts w:ascii="Arial" w:hAnsi="Arial" w:cs="Arial"/>
              </w:rPr>
            </w:pPr>
          </w:p>
          <w:p w14:paraId="74514379" w14:textId="77777777" w:rsidR="001071FC" w:rsidRPr="00AB55E3" w:rsidRDefault="001071FC" w:rsidP="00741821">
            <w:pPr>
              <w:spacing w:line="276" w:lineRule="auto"/>
              <w:rPr>
                <w:rFonts w:ascii="Arial" w:hAnsi="Arial" w:cs="Arial"/>
              </w:rPr>
            </w:pPr>
          </w:p>
        </w:tc>
      </w:tr>
    </w:tbl>
    <w:p w14:paraId="62B5F705" w14:textId="77777777" w:rsidR="001071FC" w:rsidRDefault="001071FC" w:rsidP="00491DBE">
      <w:pPr>
        <w:spacing w:line="276" w:lineRule="auto"/>
      </w:pPr>
    </w:p>
    <w:sectPr w:rsidR="001071FC" w:rsidSect="006969DF">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097C44" w14:textId="77777777" w:rsidR="00764DAD" w:rsidRDefault="00764DAD" w:rsidP="00764DAD">
      <w:r>
        <w:separator/>
      </w:r>
    </w:p>
  </w:endnote>
  <w:endnote w:type="continuationSeparator" w:id="0">
    <w:p w14:paraId="6110A97E" w14:textId="77777777" w:rsidR="00764DAD" w:rsidRDefault="00764DAD" w:rsidP="00764D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3CAEF3" w14:textId="77777777" w:rsidR="00764DAD" w:rsidRDefault="00764DAD" w:rsidP="00764DAD">
      <w:r>
        <w:separator/>
      </w:r>
    </w:p>
  </w:footnote>
  <w:footnote w:type="continuationSeparator" w:id="0">
    <w:p w14:paraId="7A6835DF" w14:textId="77777777" w:rsidR="00764DAD" w:rsidRDefault="00764DAD" w:rsidP="00764D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4035FE"/>
    <w:multiLevelType w:val="hybridMultilevel"/>
    <w:tmpl w:val="0780396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3C4035C"/>
    <w:multiLevelType w:val="hybridMultilevel"/>
    <w:tmpl w:val="6F326F0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5C37D11"/>
    <w:multiLevelType w:val="hybridMultilevel"/>
    <w:tmpl w:val="78467F2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61D56499"/>
    <w:multiLevelType w:val="hybridMultilevel"/>
    <w:tmpl w:val="9DDA551E"/>
    <w:lvl w:ilvl="0" w:tplc="C5DAB59A">
      <w:start w:val="1"/>
      <w:numFmt w:val="decimal"/>
      <w:lvlText w:val="4.%1"/>
      <w:lvlJc w:val="left"/>
      <w:pPr>
        <w:ind w:left="720" w:hanging="360"/>
      </w:pPr>
      <w:rPr>
        <w:rFonts w:hint="default"/>
        <w:sz w:val="22"/>
        <w:szCs w:val="22"/>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2040063"/>
    <w:multiLevelType w:val="hybridMultilevel"/>
    <w:tmpl w:val="FEF8362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7BC6C08"/>
    <w:multiLevelType w:val="hybridMultilevel"/>
    <w:tmpl w:val="823E22D0"/>
    <w:lvl w:ilvl="0" w:tplc="08090005">
      <w:start w:val="1"/>
      <w:numFmt w:val="bullet"/>
      <w:lvlText w:val=""/>
      <w:lvlJc w:val="left"/>
      <w:pPr>
        <w:ind w:left="789" w:hanging="360"/>
      </w:pPr>
      <w:rPr>
        <w:rFonts w:ascii="Wingdings" w:hAnsi="Wingdings" w:hint="default"/>
      </w:rPr>
    </w:lvl>
    <w:lvl w:ilvl="1" w:tplc="08090003" w:tentative="1">
      <w:start w:val="1"/>
      <w:numFmt w:val="bullet"/>
      <w:lvlText w:val="o"/>
      <w:lvlJc w:val="left"/>
      <w:pPr>
        <w:ind w:left="1509" w:hanging="360"/>
      </w:pPr>
      <w:rPr>
        <w:rFonts w:ascii="Courier New" w:hAnsi="Courier New" w:cs="Courier New" w:hint="default"/>
      </w:rPr>
    </w:lvl>
    <w:lvl w:ilvl="2" w:tplc="08090005" w:tentative="1">
      <w:start w:val="1"/>
      <w:numFmt w:val="bullet"/>
      <w:lvlText w:val=""/>
      <w:lvlJc w:val="left"/>
      <w:pPr>
        <w:ind w:left="2229" w:hanging="360"/>
      </w:pPr>
      <w:rPr>
        <w:rFonts w:ascii="Wingdings" w:hAnsi="Wingdings" w:hint="default"/>
      </w:rPr>
    </w:lvl>
    <w:lvl w:ilvl="3" w:tplc="08090001" w:tentative="1">
      <w:start w:val="1"/>
      <w:numFmt w:val="bullet"/>
      <w:lvlText w:val=""/>
      <w:lvlJc w:val="left"/>
      <w:pPr>
        <w:ind w:left="2949" w:hanging="360"/>
      </w:pPr>
      <w:rPr>
        <w:rFonts w:ascii="Symbol" w:hAnsi="Symbol" w:hint="default"/>
      </w:rPr>
    </w:lvl>
    <w:lvl w:ilvl="4" w:tplc="08090003" w:tentative="1">
      <w:start w:val="1"/>
      <w:numFmt w:val="bullet"/>
      <w:lvlText w:val="o"/>
      <w:lvlJc w:val="left"/>
      <w:pPr>
        <w:ind w:left="3669" w:hanging="360"/>
      </w:pPr>
      <w:rPr>
        <w:rFonts w:ascii="Courier New" w:hAnsi="Courier New" w:cs="Courier New" w:hint="default"/>
      </w:rPr>
    </w:lvl>
    <w:lvl w:ilvl="5" w:tplc="08090005" w:tentative="1">
      <w:start w:val="1"/>
      <w:numFmt w:val="bullet"/>
      <w:lvlText w:val=""/>
      <w:lvlJc w:val="left"/>
      <w:pPr>
        <w:ind w:left="4389" w:hanging="360"/>
      </w:pPr>
      <w:rPr>
        <w:rFonts w:ascii="Wingdings" w:hAnsi="Wingdings" w:hint="default"/>
      </w:rPr>
    </w:lvl>
    <w:lvl w:ilvl="6" w:tplc="08090001" w:tentative="1">
      <w:start w:val="1"/>
      <w:numFmt w:val="bullet"/>
      <w:lvlText w:val=""/>
      <w:lvlJc w:val="left"/>
      <w:pPr>
        <w:ind w:left="5109" w:hanging="360"/>
      </w:pPr>
      <w:rPr>
        <w:rFonts w:ascii="Symbol" w:hAnsi="Symbol" w:hint="default"/>
      </w:rPr>
    </w:lvl>
    <w:lvl w:ilvl="7" w:tplc="08090003" w:tentative="1">
      <w:start w:val="1"/>
      <w:numFmt w:val="bullet"/>
      <w:lvlText w:val="o"/>
      <w:lvlJc w:val="left"/>
      <w:pPr>
        <w:ind w:left="5829" w:hanging="360"/>
      </w:pPr>
      <w:rPr>
        <w:rFonts w:ascii="Courier New" w:hAnsi="Courier New" w:cs="Courier New" w:hint="default"/>
      </w:rPr>
    </w:lvl>
    <w:lvl w:ilvl="8" w:tplc="08090005" w:tentative="1">
      <w:start w:val="1"/>
      <w:numFmt w:val="bullet"/>
      <w:lvlText w:val=""/>
      <w:lvlJc w:val="left"/>
      <w:pPr>
        <w:ind w:left="6549" w:hanging="360"/>
      </w:pPr>
      <w:rPr>
        <w:rFonts w:ascii="Wingdings" w:hAnsi="Wingdings" w:hint="default"/>
      </w:rPr>
    </w:lvl>
  </w:abstractNum>
  <w:abstractNum w:abstractNumId="6" w15:restartNumberingAfterBreak="0">
    <w:nsid w:val="7B8270D8"/>
    <w:multiLevelType w:val="hybridMultilevel"/>
    <w:tmpl w:val="D7C65186"/>
    <w:lvl w:ilvl="0" w:tplc="DD6AE270">
      <w:start w:val="1"/>
      <w:numFmt w:val="bullet"/>
      <w:lvlText w:val=""/>
      <w:lvlJc w:val="left"/>
      <w:pPr>
        <w:ind w:left="720" w:hanging="360"/>
      </w:pPr>
      <w:rPr>
        <w:rFonts w:ascii="Wingdings" w:hAnsi="Wingdings" w:hint="default"/>
        <w:color w:val="000000"/>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20325551">
    <w:abstractNumId w:val="6"/>
  </w:num>
  <w:num w:numId="2" w16cid:durableId="1149788741">
    <w:abstractNumId w:val="3"/>
  </w:num>
  <w:num w:numId="3" w16cid:durableId="341709762">
    <w:abstractNumId w:val="1"/>
  </w:num>
  <w:num w:numId="4" w16cid:durableId="1583678000">
    <w:abstractNumId w:val="0"/>
  </w:num>
  <w:num w:numId="5" w16cid:durableId="46073398">
    <w:abstractNumId w:val="5"/>
  </w:num>
  <w:num w:numId="6" w16cid:durableId="1503815844">
    <w:abstractNumId w:val="4"/>
  </w:num>
  <w:num w:numId="7" w16cid:durableId="172367732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619F"/>
    <w:rsid w:val="000223DC"/>
    <w:rsid w:val="00024352"/>
    <w:rsid w:val="00062512"/>
    <w:rsid w:val="00081F8C"/>
    <w:rsid w:val="00087B06"/>
    <w:rsid w:val="00096423"/>
    <w:rsid w:val="000B45AE"/>
    <w:rsid w:val="001071FC"/>
    <w:rsid w:val="0011421F"/>
    <w:rsid w:val="001419F6"/>
    <w:rsid w:val="00141C02"/>
    <w:rsid w:val="00160247"/>
    <w:rsid w:val="0016538A"/>
    <w:rsid w:val="001758E5"/>
    <w:rsid w:val="001A371F"/>
    <w:rsid w:val="001C09D8"/>
    <w:rsid w:val="001D09E3"/>
    <w:rsid w:val="001D73F7"/>
    <w:rsid w:val="001F5C37"/>
    <w:rsid w:val="002051F0"/>
    <w:rsid w:val="00260A90"/>
    <w:rsid w:val="00273115"/>
    <w:rsid w:val="00287505"/>
    <w:rsid w:val="002921B1"/>
    <w:rsid w:val="002C0485"/>
    <w:rsid w:val="002F4F1A"/>
    <w:rsid w:val="00317486"/>
    <w:rsid w:val="003201AA"/>
    <w:rsid w:val="003420FB"/>
    <w:rsid w:val="00351BDE"/>
    <w:rsid w:val="00352B89"/>
    <w:rsid w:val="003863B8"/>
    <w:rsid w:val="003D61FC"/>
    <w:rsid w:val="003F1EE3"/>
    <w:rsid w:val="003F4E87"/>
    <w:rsid w:val="00424598"/>
    <w:rsid w:val="00426314"/>
    <w:rsid w:val="00443E22"/>
    <w:rsid w:val="00451B04"/>
    <w:rsid w:val="0045438E"/>
    <w:rsid w:val="0046018A"/>
    <w:rsid w:val="00466E08"/>
    <w:rsid w:val="00470B3D"/>
    <w:rsid w:val="004717F0"/>
    <w:rsid w:val="004859EB"/>
    <w:rsid w:val="00491DBE"/>
    <w:rsid w:val="004961E8"/>
    <w:rsid w:val="004A533D"/>
    <w:rsid w:val="004B5887"/>
    <w:rsid w:val="004E746D"/>
    <w:rsid w:val="004F2033"/>
    <w:rsid w:val="00535ED5"/>
    <w:rsid w:val="00556FCD"/>
    <w:rsid w:val="005A2A3C"/>
    <w:rsid w:val="005B3254"/>
    <w:rsid w:val="005B51A7"/>
    <w:rsid w:val="005C7960"/>
    <w:rsid w:val="005D2C30"/>
    <w:rsid w:val="005D59FD"/>
    <w:rsid w:val="005F1195"/>
    <w:rsid w:val="00622604"/>
    <w:rsid w:val="006363FF"/>
    <w:rsid w:val="006803F8"/>
    <w:rsid w:val="00682630"/>
    <w:rsid w:val="00684D6D"/>
    <w:rsid w:val="006942E8"/>
    <w:rsid w:val="006969DF"/>
    <w:rsid w:val="006979A7"/>
    <w:rsid w:val="006A42CC"/>
    <w:rsid w:val="006D3323"/>
    <w:rsid w:val="006D4653"/>
    <w:rsid w:val="006E5749"/>
    <w:rsid w:val="0070006E"/>
    <w:rsid w:val="00702325"/>
    <w:rsid w:val="00703049"/>
    <w:rsid w:val="007118A2"/>
    <w:rsid w:val="00731195"/>
    <w:rsid w:val="00741821"/>
    <w:rsid w:val="007422DF"/>
    <w:rsid w:val="00750549"/>
    <w:rsid w:val="007527CE"/>
    <w:rsid w:val="00755FCC"/>
    <w:rsid w:val="0076032B"/>
    <w:rsid w:val="00764DAD"/>
    <w:rsid w:val="00787BCF"/>
    <w:rsid w:val="00791A45"/>
    <w:rsid w:val="00795671"/>
    <w:rsid w:val="007B59DF"/>
    <w:rsid w:val="007B5D18"/>
    <w:rsid w:val="007F2D78"/>
    <w:rsid w:val="00831D2D"/>
    <w:rsid w:val="00834B23"/>
    <w:rsid w:val="00851C3D"/>
    <w:rsid w:val="008565C0"/>
    <w:rsid w:val="00865713"/>
    <w:rsid w:val="00865F31"/>
    <w:rsid w:val="0088177A"/>
    <w:rsid w:val="008B3776"/>
    <w:rsid w:val="008D245F"/>
    <w:rsid w:val="0090302F"/>
    <w:rsid w:val="00944107"/>
    <w:rsid w:val="00960C52"/>
    <w:rsid w:val="00961A42"/>
    <w:rsid w:val="009A3435"/>
    <w:rsid w:val="009A49CD"/>
    <w:rsid w:val="009C47F8"/>
    <w:rsid w:val="00A3448D"/>
    <w:rsid w:val="00A3557D"/>
    <w:rsid w:val="00A3715C"/>
    <w:rsid w:val="00A637A0"/>
    <w:rsid w:val="00A6503B"/>
    <w:rsid w:val="00A8122D"/>
    <w:rsid w:val="00A9091E"/>
    <w:rsid w:val="00AA55C5"/>
    <w:rsid w:val="00AB47CA"/>
    <w:rsid w:val="00AB55E3"/>
    <w:rsid w:val="00AC12EA"/>
    <w:rsid w:val="00AE2054"/>
    <w:rsid w:val="00AE3077"/>
    <w:rsid w:val="00B0615C"/>
    <w:rsid w:val="00B12E34"/>
    <w:rsid w:val="00B25729"/>
    <w:rsid w:val="00B67AB8"/>
    <w:rsid w:val="00B77F00"/>
    <w:rsid w:val="00BA191D"/>
    <w:rsid w:val="00BD5311"/>
    <w:rsid w:val="00BD6E38"/>
    <w:rsid w:val="00BE760D"/>
    <w:rsid w:val="00C1045F"/>
    <w:rsid w:val="00C11081"/>
    <w:rsid w:val="00C33A96"/>
    <w:rsid w:val="00C34120"/>
    <w:rsid w:val="00C35324"/>
    <w:rsid w:val="00C414A3"/>
    <w:rsid w:val="00C45B36"/>
    <w:rsid w:val="00C50C9E"/>
    <w:rsid w:val="00C53D8C"/>
    <w:rsid w:val="00C6619F"/>
    <w:rsid w:val="00C73EDB"/>
    <w:rsid w:val="00C77ADB"/>
    <w:rsid w:val="00C82D6F"/>
    <w:rsid w:val="00C96F16"/>
    <w:rsid w:val="00CA6898"/>
    <w:rsid w:val="00CC0E38"/>
    <w:rsid w:val="00CC2D8F"/>
    <w:rsid w:val="00CD3586"/>
    <w:rsid w:val="00CE087F"/>
    <w:rsid w:val="00CE53C5"/>
    <w:rsid w:val="00CF65D3"/>
    <w:rsid w:val="00D031A8"/>
    <w:rsid w:val="00D26D36"/>
    <w:rsid w:val="00D5043E"/>
    <w:rsid w:val="00D60E0E"/>
    <w:rsid w:val="00D702C8"/>
    <w:rsid w:val="00D8389A"/>
    <w:rsid w:val="00D85710"/>
    <w:rsid w:val="00D873D9"/>
    <w:rsid w:val="00D91765"/>
    <w:rsid w:val="00DB7BEC"/>
    <w:rsid w:val="00DD20BE"/>
    <w:rsid w:val="00DE35DC"/>
    <w:rsid w:val="00E0391C"/>
    <w:rsid w:val="00E31B62"/>
    <w:rsid w:val="00E3736C"/>
    <w:rsid w:val="00E60AEF"/>
    <w:rsid w:val="00E7065A"/>
    <w:rsid w:val="00E84B10"/>
    <w:rsid w:val="00E90816"/>
    <w:rsid w:val="00EA71EA"/>
    <w:rsid w:val="00EB5C3C"/>
    <w:rsid w:val="00EC279A"/>
    <w:rsid w:val="00EC28E9"/>
    <w:rsid w:val="00EC47F8"/>
    <w:rsid w:val="00ED3F14"/>
    <w:rsid w:val="00EF293F"/>
    <w:rsid w:val="00EF3D07"/>
    <w:rsid w:val="00F276A0"/>
    <w:rsid w:val="00F32E66"/>
    <w:rsid w:val="00F86FCF"/>
    <w:rsid w:val="00F87826"/>
    <w:rsid w:val="00FD1316"/>
    <w:rsid w:val="00FF4E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14:docId w14:val="03B50DB8"/>
  <w15:chartTrackingRefBased/>
  <w15:docId w15:val="{E65B3DB8-325B-45BA-9663-B2A578F1C8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619F"/>
    <w:rPr>
      <w:rFonts w:ascii="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C6619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rsid w:val="00C6619F"/>
    <w:rPr>
      <w:rFonts w:ascii="Tahoma" w:hAnsi="Tahoma" w:cs="Tahoma"/>
      <w:sz w:val="16"/>
      <w:szCs w:val="16"/>
    </w:rPr>
  </w:style>
  <w:style w:type="character" w:customStyle="1" w:styleId="BalloonTextChar">
    <w:name w:val="Balloon Text Char"/>
    <w:link w:val="BalloonText"/>
    <w:uiPriority w:val="99"/>
    <w:semiHidden/>
    <w:locked/>
    <w:rsid w:val="00C6619F"/>
    <w:rPr>
      <w:rFonts w:ascii="Tahoma" w:hAnsi="Tahoma" w:cs="Tahoma"/>
      <w:sz w:val="16"/>
      <w:szCs w:val="16"/>
      <w:lang w:val="x-none" w:eastAsia="en-GB"/>
    </w:rPr>
  </w:style>
  <w:style w:type="character" w:styleId="Hyperlink">
    <w:name w:val="Hyperlink"/>
    <w:uiPriority w:val="99"/>
    <w:rsid w:val="001A371F"/>
    <w:rPr>
      <w:rFonts w:cs="Times New Roman"/>
      <w:color w:val="0000FF"/>
      <w:u w:val="single"/>
    </w:rPr>
  </w:style>
  <w:style w:type="paragraph" w:styleId="ListParagraph">
    <w:name w:val="List Paragraph"/>
    <w:basedOn w:val="Normal"/>
    <w:uiPriority w:val="99"/>
    <w:qFormat/>
    <w:rsid w:val="00831D2D"/>
    <w:pPr>
      <w:ind w:left="720"/>
      <w:contextualSpacing/>
    </w:pPr>
  </w:style>
  <w:style w:type="character" w:styleId="UnresolvedMention">
    <w:name w:val="Unresolved Mention"/>
    <w:basedOn w:val="DefaultParagraphFont"/>
    <w:uiPriority w:val="99"/>
    <w:semiHidden/>
    <w:unhideWhenUsed/>
    <w:rsid w:val="00741821"/>
    <w:rPr>
      <w:color w:val="808080"/>
      <w:shd w:val="clear" w:color="auto" w:fill="E6E6E6"/>
    </w:rPr>
  </w:style>
  <w:style w:type="paragraph" w:customStyle="1" w:styleId="Normal0">
    <w:name w:val="[Normal]"/>
    <w:rsid w:val="00ED3F14"/>
    <w:pPr>
      <w:autoSpaceDE w:val="0"/>
      <w:autoSpaceDN w:val="0"/>
      <w:adjustRightInd w:val="0"/>
    </w:pPr>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94444404">
      <w:bodyDiv w:val="1"/>
      <w:marLeft w:val="0"/>
      <w:marRight w:val="0"/>
      <w:marTop w:val="0"/>
      <w:marBottom w:val="0"/>
      <w:divBdr>
        <w:top w:val="none" w:sz="0" w:space="0" w:color="auto"/>
        <w:left w:val="none" w:sz="0" w:space="0" w:color="auto"/>
        <w:bottom w:val="none" w:sz="0" w:space="0" w:color="auto"/>
        <w:right w:val="none" w:sz="0" w:space="0" w:color="auto"/>
      </w:divBdr>
    </w:div>
    <w:div w:id="1680504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push.gov.uk/work/planning-and-infrastructure/push-position-statement/"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package" Target="embeddings/Microsoft_Excel_Worksheet1.xlsx"/><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0" Type="http://schemas.openxmlformats.org/officeDocument/2006/relationships/package" Target="embeddings/Microsoft_Excel_Worksheet.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5</Pages>
  <Words>2192</Words>
  <Characters>12514</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Habitat Regulation Assessment (HRA) screening matrix</vt:lpstr>
    </vt:vector>
  </TitlesOfParts>
  <Company>Portsmouth City Council</Company>
  <LinksUpToDate>false</LinksUpToDate>
  <CharactersWithSpaces>14677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Habitat Regulation Assessment (HRA) screening matrix</dc:title>
  <dc:subject/>
  <dc:creator>David Hayward</dc:creator>
  <cp:keywords/>
  <cp:lastModifiedBy>Pickup, Tina</cp:lastModifiedBy>
  <cp:revision>4</cp:revision>
  <cp:lastPrinted>2014-02-18T14:51:00Z</cp:lastPrinted>
  <dcterms:created xsi:type="dcterms:W3CDTF">2024-11-01T15:43:00Z</dcterms:created>
  <dcterms:modified xsi:type="dcterms:W3CDTF">2024-11-01T15:54:00Z</dcterms:modified>
</cp:coreProperties>
</file>