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39DFE" w14:textId="2E1D3EAB" w:rsidR="00470F24" w:rsidRDefault="00FF79EC" w:rsidP="00B35C8A">
      <w:pPr>
        <w:autoSpaceDE w:val="0"/>
        <w:autoSpaceDN w:val="0"/>
        <w:adjustRightInd w:val="0"/>
        <w:spacing w:after="0" w:line="240" w:lineRule="auto"/>
        <w:rPr>
          <w:rStyle w:val="fontstyle21"/>
          <w:rFonts w:ascii="Arial" w:hAnsi="Arial" w:cs="Arial"/>
          <w:b/>
        </w:rPr>
      </w:pPr>
      <w:r w:rsidRPr="00FF79EC">
        <w:rPr>
          <w:rStyle w:val="fontstyle21"/>
          <w:rFonts w:ascii="Arial" w:hAnsi="Arial" w:cs="Arial"/>
          <w:b/>
        </w:rPr>
        <w:t>APP/22/00001 Land to the rear of 49 - 71, Fathoms Reach, Hayling Island</w:t>
      </w:r>
    </w:p>
    <w:p w14:paraId="32F9EA9B" w14:textId="77777777" w:rsidR="00FF79EC" w:rsidRDefault="00FF79EC" w:rsidP="00B35C8A">
      <w:pPr>
        <w:autoSpaceDE w:val="0"/>
        <w:autoSpaceDN w:val="0"/>
        <w:adjustRightInd w:val="0"/>
        <w:spacing w:after="0" w:line="240" w:lineRule="auto"/>
        <w:rPr>
          <w:rFonts w:ascii="Arial" w:hAnsi="Arial" w:cs="Arial"/>
        </w:rPr>
      </w:pPr>
    </w:p>
    <w:p w14:paraId="70E2BF80" w14:textId="24B1020B" w:rsidR="00470F24" w:rsidRDefault="00FF79EC"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MT" w:eastAsia="ArialMT"/>
          <w:color w:val="000000"/>
        </w:rPr>
      </w:pPr>
      <w:r w:rsidRPr="00FF79EC">
        <w:rPr>
          <w:rFonts w:ascii="ArialMT" w:eastAsia="ArialMT"/>
          <w:color w:val="000000"/>
        </w:rPr>
        <w:t>Demolition of Nos 61-69 Fathoms Reach (inclusive) and development of 51</w:t>
      </w:r>
      <w:r>
        <w:rPr>
          <w:rFonts w:ascii="ArialMT" w:eastAsia="ArialMT"/>
          <w:color w:val="000000"/>
        </w:rPr>
        <w:t xml:space="preserve"> </w:t>
      </w:r>
      <w:r w:rsidRPr="00FF79EC">
        <w:rPr>
          <w:rFonts w:ascii="ArialMT" w:eastAsia="ArialMT"/>
          <w:color w:val="000000"/>
        </w:rPr>
        <w:t>dwellings, to include 19 No. 2 bed, 18 No. 3 bed, 4 No. 4 bed, 3 No. 1 bed apartments and 6 No. 2 bed</w:t>
      </w:r>
      <w:r w:rsidRPr="00FF79EC">
        <w:rPr>
          <w:rFonts w:ascii="ArialMT" w:eastAsia="ArialMT" w:hint="eastAsia"/>
          <w:color w:val="000000"/>
        </w:rPr>
        <w:br/>
      </w:r>
      <w:r w:rsidRPr="00FF79EC">
        <w:rPr>
          <w:rFonts w:ascii="ArialMT" w:eastAsia="ArialMT"/>
          <w:color w:val="000000"/>
        </w:rPr>
        <w:t>apartments, with play area and associated infrastructure; new vehicular and pedestrian access to</w:t>
      </w:r>
      <w:r>
        <w:rPr>
          <w:rFonts w:ascii="ArialMT" w:eastAsia="ArialMT"/>
          <w:color w:val="000000"/>
        </w:rPr>
        <w:t xml:space="preserve"> </w:t>
      </w:r>
      <w:r w:rsidRPr="00FF79EC">
        <w:rPr>
          <w:rFonts w:ascii="ArialMT" w:eastAsia="ArialMT"/>
          <w:color w:val="000000"/>
        </w:rPr>
        <w:t>Fathoms Reach and footpath link to Southleigh Grove; includes works to trees the subject of Tree</w:t>
      </w:r>
      <w:r>
        <w:rPr>
          <w:rFonts w:ascii="ArialMT" w:eastAsia="ArialMT"/>
          <w:color w:val="000000"/>
        </w:rPr>
        <w:t xml:space="preserve"> </w:t>
      </w:r>
      <w:r w:rsidRPr="00FF79EC">
        <w:rPr>
          <w:rFonts w:ascii="ArialMT" w:eastAsia="ArialMT"/>
          <w:color w:val="000000"/>
        </w:rPr>
        <w:t>Preservation Order No.1249</w:t>
      </w:r>
    </w:p>
    <w:p w14:paraId="35A82F45" w14:textId="77777777" w:rsidR="00FF79EC" w:rsidRPr="00A51637" w:rsidRDefault="00FF79EC"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068097ED" w14:textId="1296D047" w:rsidR="008C6592" w:rsidRPr="00A51637" w:rsidRDefault="008C6592" w:rsidP="008C6592">
      <w:pPr>
        <w:rPr>
          <w:rFonts w:ascii="Arial" w:hAnsi="Arial" w:cs="Arial"/>
          <w:b/>
        </w:rPr>
      </w:pPr>
      <w:r w:rsidRPr="00A51637">
        <w:rPr>
          <w:rFonts w:ascii="Arial" w:hAnsi="Arial" w:cs="Arial"/>
          <w:b/>
        </w:rPr>
        <w:t xml:space="preserve">Comments - HBC Community Infrastructure Officer </w:t>
      </w:r>
    </w:p>
    <w:p w14:paraId="0E7276BF" w14:textId="77777777" w:rsidR="005B56A3" w:rsidRPr="008F39B7" w:rsidRDefault="005B56A3" w:rsidP="005B56A3">
      <w:pPr>
        <w:autoSpaceDE w:val="0"/>
        <w:autoSpaceDN w:val="0"/>
        <w:adjustRightInd w:val="0"/>
        <w:spacing w:after="0" w:line="240" w:lineRule="auto"/>
        <w:rPr>
          <w:rFonts w:ascii="Arial" w:hAnsi="Arial" w:cs="Arial"/>
          <w:b/>
          <w:u w:val="single"/>
        </w:rPr>
      </w:pPr>
      <w:r w:rsidRPr="008F39B7">
        <w:rPr>
          <w:rFonts w:ascii="Arial" w:hAnsi="Arial" w:cs="Arial"/>
          <w:b/>
          <w:u w:val="single"/>
        </w:rPr>
        <w:t>CIL</w:t>
      </w:r>
    </w:p>
    <w:p w14:paraId="5842476A" w14:textId="3279ACAB" w:rsidR="005B56A3" w:rsidRDefault="005B56A3" w:rsidP="005B56A3">
      <w:pPr>
        <w:autoSpaceDE w:val="0"/>
        <w:autoSpaceDN w:val="0"/>
        <w:adjustRightInd w:val="0"/>
        <w:spacing w:after="0" w:line="240" w:lineRule="auto"/>
        <w:rPr>
          <w:rFonts w:ascii="Arial" w:hAnsi="Arial" w:cs="Arial"/>
          <w:b/>
        </w:rPr>
      </w:pPr>
    </w:p>
    <w:p w14:paraId="7874A6B9" w14:textId="49D72417" w:rsidR="007505AF" w:rsidRPr="001844DF" w:rsidRDefault="007505AF" w:rsidP="007505AF">
      <w:pPr>
        <w:rPr>
          <w:rStyle w:val="Hyperlink"/>
          <w:rFonts w:ascii="Arial" w:hAnsi="Arial" w:cs="Arial"/>
          <w:color w:val="auto"/>
        </w:rPr>
      </w:pPr>
      <w:r w:rsidRPr="001844DF">
        <w:rPr>
          <w:rFonts w:ascii="Arial" w:hAnsi="Arial" w:cs="Arial"/>
          <w:bCs/>
        </w:rPr>
        <w:t>The development is</w:t>
      </w:r>
      <w:r w:rsidRPr="001844DF">
        <w:rPr>
          <w:rFonts w:ascii="Arial" w:hAnsi="Arial" w:cs="Arial"/>
          <w:b/>
        </w:rPr>
        <w:t xml:space="preserve"> </w:t>
      </w:r>
      <w:r w:rsidRPr="001844DF">
        <w:rPr>
          <w:rFonts w:ascii="Arial" w:hAnsi="Arial" w:cs="Arial"/>
        </w:rPr>
        <w:t>CIL Liable</w:t>
      </w:r>
      <w:r w:rsidRPr="001844DF">
        <w:rPr>
          <w:rFonts w:ascii="Arial" w:hAnsi="Arial" w:cs="Arial"/>
        </w:rPr>
        <w:t xml:space="preserve">. Our </w:t>
      </w:r>
      <w:r w:rsidRPr="001844DF">
        <w:rPr>
          <w:rFonts w:ascii="Arial" w:hAnsi="Arial" w:cs="Arial"/>
        </w:rPr>
        <w:t>CIL Charging Schedule</w:t>
      </w:r>
      <w:r w:rsidRPr="001844DF">
        <w:rPr>
          <w:rFonts w:ascii="Arial" w:hAnsi="Arial" w:cs="Arial"/>
        </w:rPr>
        <w:t xml:space="preserve"> can be viewed here</w:t>
      </w:r>
      <w:r w:rsidRPr="001844DF">
        <w:rPr>
          <w:rFonts w:ascii="Arial" w:hAnsi="Arial" w:cs="Arial"/>
        </w:rPr>
        <w:t xml:space="preserve">: </w:t>
      </w:r>
      <w:hyperlink r:id="rId5" w:history="1">
        <w:r w:rsidRPr="001844DF">
          <w:rPr>
            <w:rStyle w:val="Hyperlink"/>
            <w:rFonts w:ascii="Arial" w:hAnsi="Arial" w:cs="Arial"/>
            <w:color w:val="auto"/>
          </w:rPr>
          <w:t>http://www.havant.gov.uk/sites/default/files/documents/HBC%20CIL%20Charging%20Schedule%20Full%20Document%20Feb%202013.pdf</w:t>
        </w:r>
      </w:hyperlink>
    </w:p>
    <w:p w14:paraId="2E2D1127" w14:textId="77777777" w:rsidR="007505AF" w:rsidRPr="001844DF" w:rsidRDefault="007505AF" w:rsidP="007505AF">
      <w:pPr>
        <w:spacing w:line="240" w:lineRule="auto"/>
        <w:rPr>
          <w:rFonts w:ascii="Arial" w:hAnsi="Arial" w:cs="Arial"/>
        </w:rPr>
      </w:pPr>
      <w:r w:rsidRPr="001844DF">
        <w:rPr>
          <w:rFonts w:ascii="Arial" w:hAnsi="Arial" w:cs="Arial"/>
        </w:rPr>
        <w:t>The amounts in the Charging Schedule are indexed according to the year in which permission is issued.</w:t>
      </w:r>
    </w:p>
    <w:p w14:paraId="11F7D39F" w14:textId="6270E95C" w:rsidR="007505AF" w:rsidRPr="001844DF" w:rsidRDefault="007505AF" w:rsidP="007505AF">
      <w:pPr>
        <w:spacing w:line="240" w:lineRule="auto"/>
        <w:rPr>
          <w:rStyle w:val="Hyperlink"/>
          <w:rFonts w:ascii="Arial" w:hAnsi="Arial" w:cs="Arial"/>
          <w:color w:val="auto"/>
          <w:u w:val="none"/>
        </w:rPr>
      </w:pPr>
      <w:r w:rsidRPr="001844DF">
        <w:rPr>
          <w:rStyle w:val="Hyperlink"/>
          <w:rFonts w:ascii="Arial" w:hAnsi="Arial" w:cs="Arial"/>
          <w:color w:val="auto"/>
          <w:u w:val="none"/>
        </w:rPr>
        <w:t xml:space="preserve">The figures supplied in CIL form </w:t>
      </w:r>
      <w:r w:rsidR="001844DF">
        <w:rPr>
          <w:rStyle w:val="Hyperlink"/>
          <w:rFonts w:ascii="Arial" w:hAnsi="Arial" w:cs="Arial"/>
          <w:color w:val="auto"/>
          <w:u w:val="none"/>
        </w:rPr>
        <w:t>1</w:t>
      </w:r>
      <w:r w:rsidRPr="001844DF">
        <w:rPr>
          <w:rStyle w:val="Hyperlink"/>
          <w:rFonts w:ascii="Arial" w:hAnsi="Arial" w:cs="Arial"/>
          <w:color w:val="auto"/>
          <w:u w:val="none"/>
        </w:rPr>
        <w:t xml:space="preserve"> </w:t>
      </w:r>
      <w:r w:rsidR="005E5646" w:rsidRPr="001844DF">
        <w:rPr>
          <w:rStyle w:val="Hyperlink"/>
          <w:rFonts w:ascii="Arial" w:hAnsi="Arial" w:cs="Arial"/>
          <w:color w:val="auto"/>
          <w:u w:val="none"/>
        </w:rPr>
        <w:t xml:space="preserve">match the Schedule of Accommodation provided at 13.01 in the Design and Access Statement </w:t>
      </w:r>
      <w:r w:rsidR="001844DF" w:rsidRPr="001844DF">
        <w:rPr>
          <w:rStyle w:val="Hyperlink"/>
          <w:rFonts w:ascii="Arial" w:hAnsi="Arial" w:cs="Arial"/>
          <w:color w:val="auto"/>
          <w:u w:val="none"/>
        </w:rPr>
        <w:t>dated November 2021.</w:t>
      </w:r>
    </w:p>
    <w:p w14:paraId="26A7E078" w14:textId="67655B2B" w:rsidR="001844DF" w:rsidRDefault="001844DF" w:rsidP="001844DF">
      <w:pPr>
        <w:autoSpaceDE w:val="0"/>
        <w:autoSpaceDN w:val="0"/>
        <w:adjustRightInd w:val="0"/>
        <w:spacing w:after="0" w:line="240" w:lineRule="auto"/>
        <w:rPr>
          <w:rFonts w:ascii="Arial" w:hAnsi="Arial" w:cs="Arial"/>
        </w:rPr>
      </w:pPr>
      <w:r w:rsidRPr="001844DF">
        <w:rPr>
          <w:rStyle w:val="Hyperlink"/>
          <w:rFonts w:ascii="Arial" w:hAnsi="Arial" w:cs="Arial"/>
          <w:color w:val="auto"/>
          <w:u w:val="none"/>
        </w:rPr>
        <w:t xml:space="preserve">On receipt of a CIL </w:t>
      </w:r>
      <w:r w:rsidRPr="001844DF">
        <w:rPr>
          <w:rFonts w:ascii="Arial" w:hAnsi="Arial" w:cs="Arial"/>
        </w:rPr>
        <w:t>Form 10: Charitable and/or Social Housing Relief Claim Form</w:t>
      </w:r>
      <w:r w:rsidRPr="001844DF">
        <w:rPr>
          <w:rFonts w:ascii="Arial" w:hAnsi="Arial" w:cs="Arial"/>
        </w:rPr>
        <w:t xml:space="preserve"> the amount of mandatory social housing relief can be calculated and confirmed.</w:t>
      </w:r>
    </w:p>
    <w:p w14:paraId="36677D87" w14:textId="77777777" w:rsidR="001844DF" w:rsidRPr="001844DF" w:rsidRDefault="001844DF" w:rsidP="001844DF">
      <w:pPr>
        <w:autoSpaceDE w:val="0"/>
        <w:autoSpaceDN w:val="0"/>
        <w:adjustRightInd w:val="0"/>
        <w:spacing w:after="0" w:line="240" w:lineRule="auto"/>
        <w:rPr>
          <w:rStyle w:val="Hyperlink"/>
          <w:rFonts w:ascii="Arial" w:hAnsi="Arial" w:cs="Arial"/>
          <w:color w:val="auto"/>
          <w:u w:val="none"/>
        </w:rPr>
      </w:pPr>
    </w:p>
    <w:p w14:paraId="0EFD232D" w14:textId="4B811875" w:rsidR="00A257E3" w:rsidRDefault="001844DF" w:rsidP="001844DF">
      <w:pPr>
        <w:spacing w:line="240" w:lineRule="auto"/>
        <w:rPr>
          <w:rStyle w:val="Hyperlink"/>
          <w:rFonts w:ascii="Arial" w:hAnsi="Arial" w:cs="Arial"/>
          <w:color w:val="auto"/>
          <w:u w:val="none"/>
        </w:rPr>
      </w:pPr>
      <w:r w:rsidRPr="001844DF">
        <w:rPr>
          <w:rStyle w:val="Hyperlink"/>
          <w:rFonts w:ascii="Arial" w:hAnsi="Arial" w:cs="Arial"/>
          <w:color w:val="auto"/>
          <w:u w:val="none"/>
        </w:rPr>
        <w:t>Fu</w:t>
      </w:r>
      <w:r w:rsidR="00EE057E" w:rsidRPr="001844DF">
        <w:rPr>
          <w:rFonts w:ascii="Arial" w:hAnsi="Arial" w:cs="Arial"/>
        </w:rPr>
        <w:t>rther information on CIL including relief in respect of affordable housing can be found on the Planning Porta</w:t>
      </w:r>
      <w:r w:rsidR="00FC370C" w:rsidRPr="001844DF">
        <w:rPr>
          <w:rFonts w:ascii="Arial" w:hAnsi="Arial" w:cs="Arial"/>
        </w:rPr>
        <w:t>l</w:t>
      </w:r>
      <w:r w:rsidR="00CE0900" w:rsidRPr="001844DF">
        <w:rPr>
          <w:rStyle w:val="Hyperlink"/>
          <w:rFonts w:ascii="Arial" w:hAnsi="Arial" w:cs="Arial"/>
          <w:color w:val="auto"/>
          <w:u w:val="none"/>
        </w:rPr>
        <w:t>.</w:t>
      </w:r>
    </w:p>
    <w:p w14:paraId="7366D833" w14:textId="77777777" w:rsidR="00A257E3" w:rsidRPr="009D7EE0" w:rsidRDefault="00A257E3" w:rsidP="00A257E3">
      <w:pPr>
        <w:spacing w:line="240" w:lineRule="auto"/>
        <w:rPr>
          <w:rStyle w:val="Hyperlink"/>
          <w:rFonts w:ascii="Arial" w:hAnsi="Arial" w:cs="Arial"/>
          <w:color w:val="auto"/>
          <w:u w:val="none"/>
        </w:rPr>
      </w:pPr>
      <w:r w:rsidRPr="009D7EE0">
        <w:rPr>
          <w:rStyle w:val="Hyperlink"/>
          <w:rFonts w:ascii="Arial" w:hAnsi="Arial" w:cs="Arial"/>
          <w:color w:val="auto"/>
          <w:u w:val="none"/>
        </w:rPr>
        <w:t>If the development is to be phased then this must be decided before decision is made, more information is available in Appendix A at the end of this response.</w:t>
      </w:r>
    </w:p>
    <w:p w14:paraId="26944938" w14:textId="60E3EE72" w:rsidR="00AF57BE" w:rsidRPr="00AF57BE" w:rsidRDefault="00AF57BE" w:rsidP="00FC370C">
      <w:pPr>
        <w:rPr>
          <w:rStyle w:val="Hyperlink"/>
          <w:rFonts w:ascii="Arial" w:hAnsi="Arial" w:cs="Arial"/>
          <w:b/>
          <w:color w:val="auto"/>
        </w:rPr>
      </w:pPr>
      <w:r w:rsidRPr="00AF57BE">
        <w:rPr>
          <w:rStyle w:val="Hyperlink"/>
          <w:rFonts w:ascii="Arial" w:hAnsi="Arial" w:cs="Arial"/>
          <w:b/>
          <w:color w:val="auto"/>
        </w:rPr>
        <w:t>S106</w:t>
      </w:r>
    </w:p>
    <w:p w14:paraId="06A548C2" w14:textId="0A90B5F0" w:rsidR="005B56A3" w:rsidRPr="00AE37F0" w:rsidRDefault="005B56A3" w:rsidP="005B56A3">
      <w:pPr>
        <w:autoSpaceDE w:val="0"/>
        <w:autoSpaceDN w:val="0"/>
        <w:adjustRightInd w:val="0"/>
        <w:spacing w:after="0" w:line="240" w:lineRule="auto"/>
        <w:rPr>
          <w:rFonts w:ascii="Arial" w:hAnsi="Arial" w:cs="Arial"/>
        </w:rPr>
      </w:pPr>
      <w:r w:rsidRPr="00AE37F0">
        <w:rPr>
          <w:rFonts w:ascii="Arial" w:hAnsi="Arial" w:cs="Arial"/>
        </w:rPr>
        <w:t>Subject to statutory consultee responses we would expect the S106 to include (amongst any other site</w:t>
      </w:r>
      <w:r w:rsidR="00A328B9">
        <w:rPr>
          <w:rFonts w:ascii="Arial" w:hAnsi="Arial" w:cs="Arial"/>
        </w:rPr>
        <w:t>-</w:t>
      </w:r>
      <w:r w:rsidRPr="00AE37F0">
        <w:rPr>
          <w:rFonts w:ascii="Arial" w:hAnsi="Arial" w:cs="Arial"/>
        </w:rPr>
        <w:t>specific obligations necessary):</w:t>
      </w:r>
    </w:p>
    <w:p w14:paraId="760D6DC0" w14:textId="77777777" w:rsidR="006D5554" w:rsidRPr="00B81B00" w:rsidRDefault="006D5554" w:rsidP="006D5554">
      <w:pPr>
        <w:autoSpaceDE w:val="0"/>
        <w:autoSpaceDN w:val="0"/>
        <w:adjustRightInd w:val="0"/>
        <w:spacing w:after="0" w:line="240" w:lineRule="auto"/>
        <w:rPr>
          <w:rFonts w:ascii="Arial" w:hAnsi="Arial" w:cs="Arial"/>
          <w:b/>
        </w:rPr>
      </w:pPr>
    </w:p>
    <w:p w14:paraId="7C38495F" w14:textId="77777777" w:rsidR="006D5554" w:rsidRPr="00B81B00" w:rsidRDefault="006D5554" w:rsidP="006D5554">
      <w:pPr>
        <w:pStyle w:val="ListParagraph"/>
        <w:numPr>
          <w:ilvl w:val="0"/>
          <w:numId w:val="1"/>
        </w:numPr>
        <w:rPr>
          <w:rFonts w:ascii="Arial" w:hAnsi="Arial" w:cs="Arial"/>
        </w:rPr>
      </w:pPr>
      <w:r w:rsidRPr="00B81B00">
        <w:rPr>
          <w:rFonts w:ascii="Arial" w:hAnsi="Arial" w:cs="Arial"/>
        </w:rPr>
        <w:t xml:space="preserve">Affordable Housing </w:t>
      </w:r>
    </w:p>
    <w:p w14:paraId="1663ADA3" w14:textId="77777777" w:rsidR="006D5554" w:rsidRDefault="006D5554" w:rsidP="006D5554">
      <w:pPr>
        <w:pStyle w:val="ListParagraph"/>
        <w:numPr>
          <w:ilvl w:val="0"/>
          <w:numId w:val="1"/>
        </w:numPr>
        <w:rPr>
          <w:rFonts w:ascii="Arial" w:hAnsi="Arial" w:cs="Arial"/>
        </w:rPr>
      </w:pPr>
      <w:r>
        <w:rPr>
          <w:rFonts w:ascii="Arial" w:hAnsi="Arial" w:cs="Arial"/>
        </w:rPr>
        <w:t xml:space="preserve">HBC </w:t>
      </w:r>
      <w:r w:rsidRPr="00B5683D">
        <w:rPr>
          <w:rFonts w:ascii="Arial" w:hAnsi="Arial" w:cs="Arial"/>
        </w:rPr>
        <w:t>Monitoring Fees*</w:t>
      </w:r>
    </w:p>
    <w:p w14:paraId="0908FDE4" w14:textId="77777777" w:rsidR="006D5554" w:rsidRPr="00B5683D" w:rsidRDefault="006D5554" w:rsidP="006D5554">
      <w:pPr>
        <w:pStyle w:val="ListParagraph"/>
        <w:numPr>
          <w:ilvl w:val="0"/>
          <w:numId w:val="1"/>
        </w:numPr>
        <w:rPr>
          <w:rFonts w:ascii="Arial" w:hAnsi="Arial" w:cs="Arial"/>
        </w:rPr>
      </w:pPr>
      <w:r>
        <w:rPr>
          <w:rFonts w:ascii="Arial" w:hAnsi="Arial" w:cs="Arial"/>
        </w:rPr>
        <w:t>HCC Monitoring Fees</w:t>
      </w:r>
    </w:p>
    <w:p w14:paraId="3900C5BB" w14:textId="77777777" w:rsidR="006D5554" w:rsidRPr="008D0653" w:rsidRDefault="006D5554" w:rsidP="006D5554">
      <w:pPr>
        <w:pStyle w:val="ListParagraph"/>
        <w:numPr>
          <w:ilvl w:val="0"/>
          <w:numId w:val="1"/>
        </w:numPr>
        <w:rPr>
          <w:rFonts w:ascii="Arial" w:hAnsi="Arial" w:cs="Arial"/>
        </w:rPr>
      </w:pPr>
      <w:r w:rsidRPr="008D0653">
        <w:rPr>
          <w:rFonts w:ascii="Arial" w:hAnsi="Arial" w:cs="Arial"/>
        </w:rPr>
        <w:t>Management Company and Management Plan (may include SUDS)</w:t>
      </w:r>
    </w:p>
    <w:p w14:paraId="6DAE6FB9" w14:textId="0C438636" w:rsidR="006D5554" w:rsidRDefault="006D5554" w:rsidP="006D5554">
      <w:pPr>
        <w:pStyle w:val="ListParagraph"/>
        <w:numPr>
          <w:ilvl w:val="0"/>
          <w:numId w:val="1"/>
        </w:numPr>
        <w:rPr>
          <w:rFonts w:ascii="Arial" w:hAnsi="Arial" w:cs="Arial"/>
        </w:rPr>
      </w:pPr>
      <w:r w:rsidRPr="00DE38F1">
        <w:rPr>
          <w:rFonts w:ascii="Arial" w:hAnsi="Arial" w:cs="Arial"/>
        </w:rPr>
        <w:t>Solent Recreation Mitigation Strategy</w:t>
      </w:r>
      <w:r w:rsidR="00E57073">
        <w:rPr>
          <w:rFonts w:ascii="Arial" w:hAnsi="Arial" w:cs="Arial"/>
        </w:rPr>
        <w:t>**</w:t>
      </w:r>
    </w:p>
    <w:p w14:paraId="5800EF69" w14:textId="17A848FF" w:rsidR="006D5554" w:rsidRDefault="006D5554" w:rsidP="006D5554">
      <w:pPr>
        <w:pStyle w:val="ListParagraph"/>
        <w:numPr>
          <w:ilvl w:val="0"/>
          <w:numId w:val="1"/>
        </w:numPr>
        <w:rPr>
          <w:rFonts w:ascii="Arial" w:hAnsi="Arial" w:cs="Arial"/>
        </w:rPr>
      </w:pPr>
      <w:r>
        <w:rPr>
          <w:rFonts w:ascii="Arial" w:hAnsi="Arial" w:cs="Arial"/>
        </w:rPr>
        <w:t xml:space="preserve">Nutrient </w:t>
      </w:r>
      <w:r w:rsidRPr="00203F2A">
        <w:rPr>
          <w:rFonts w:ascii="Arial" w:hAnsi="Arial" w:cs="Arial"/>
        </w:rPr>
        <w:t xml:space="preserve">Neutrality, if it is not possible to fully mitigate the scheme’s impact on site, the applicant will need to find a mitigation scheme. The details of schemes have been published on the Partnership for South Hampshire’s website at </w:t>
      </w:r>
      <w:hyperlink r:id="rId6" w:history="1">
        <w:r w:rsidRPr="00203F2A">
          <w:rPr>
            <w:rStyle w:val="Hyperlink"/>
            <w:rFonts w:ascii="Arial" w:hAnsi="Arial" w:cs="Arial"/>
            <w:color w:val="auto"/>
          </w:rPr>
          <w:t>https://www.push.gov.uk/work/mitigation-schemes-available-to-developers/</w:t>
        </w:r>
      </w:hyperlink>
    </w:p>
    <w:p w14:paraId="36ED7BDE" w14:textId="77777777" w:rsidR="006D5554" w:rsidRPr="002E39E5" w:rsidRDefault="006D5554" w:rsidP="006D5554">
      <w:pPr>
        <w:pStyle w:val="ListParagraph"/>
        <w:numPr>
          <w:ilvl w:val="0"/>
          <w:numId w:val="1"/>
        </w:numPr>
        <w:rPr>
          <w:rFonts w:ascii="Arial" w:hAnsi="Arial" w:cs="Arial"/>
        </w:rPr>
      </w:pPr>
      <w:r w:rsidRPr="002E39E5">
        <w:rPr>
          <w:rFonts w:ascii="Arial" w:hAnsi="Arial" w:cs="Arial"/>
        </w:rPr>
        <w:t>SUDS/SUDS Bond</w:t>
      </w:r>
      <w:r>
        <w:rPr>
          <w:rFonts w:ascii="Arial" w:hAnsi="Arial" w:cs="Arial"/>
        </w:rPr>
        <w:t xml:space="preserve"> (Bond not necessary if Southern Water have agreed to adopt SUDS once installed)</w:t>
      </w:r>
    </w:p>
    <w:p w14:paraId="4FB5BCA1" w14:textId="77777777" w:rsidR="006D5554" w:rsidRDefault="006D5554" w:rsidP="006D5554">
      <w:pPr>
        <w:pStyle w:val="ListParagraph"/>
        <w:numPr>
          <w:ilvl w:val="0"/>
          <w:numId w:val="1"/>
        </w:numPr>
        <w:rPr>
          <w:rFonts w:ascii="Arial" w:hAnsi="Arial" w:cs="Arial"/>
        </w:rPr>
      </w:pPr>
      <w:r>
        <w:rPr>
          <w:rFonts w:ascii="Arial" w:hAnsi="Arial" w:cs="Arial"/>
        </w:rPr>
        <w:t>Community Worker (Policy DR2) – payment due on commencement</w:t>
      </w:r>
    </w:p>
    <w:p w14:paraId="4138696B" w14:textId="77777777" w:rsidR="006D5554" w:rsidRDefault="006D5554" w:rsidP="006D5554">
      <w:pPr>
        <w:pStyle w:val="ListParagraph"/>
        <w:numPr>
          <w:ilvl w:val="0"/>
          <w:numId w:val="1"/>
        </w:numPr>
        <w:rPr>
          <w:rFonts w:ascii="Arial" w:hAnsi="Arial" w:cs="Arial"/>
        </w:rPr>
      </w:pPr>
      <w:r w:rsidRPr="00B81B00">
        <w:rPr>
          <w:rFonts w:ascii="Arial" w:hAnsi="Arial" w:cs="Arial"/>
        </w:rPr>
        <w:t>Education (HCC)</w:t>
      </w:r>
    </w:p>
    <w:p w14:paraId="71AB0FA5" w14:textId="77777777" w:rsidR="006D5554" w:rsidRDefault="006D5554" w:rsidP="006D5554">
      <w:pPr>
        <w:pStyle w:val="ListParagraph"/>
        <w:numPr>
          <w:ilvl w:val="0"/>
          <w:numId w:val="1"/>
        </w:numPr>
        <w:rPr>
          <w:rFonts w:ascii="Arial" w:hAnsi="Arial" w:cs="Arial"/>
        </w:rPr>
      </w:pPr>
      <w:r w:rsidRPr="002E39E5">
        <w:rPr>
          <w:rFonts w:ascii="Arial" w:hAnsi="Arial" w:cs="Arial"/>
        </w:rPr>
        <w:t>Site Specific Transport Improvements (HCC)</w:t>
      </w:r>
    </w:p>
    <w:p w14:paraId="4A843097" w14:textId="77777777" w:rsidR="006D5554" w:rsidRDefault="006D5554" w:rsidP="006D5554">
      <w:pPr>
        <w:pStyle w:val="ListParagraph"/>
        <w:numPr>
          <w:ilvl w:val="0"/>
          <w:numId w:val="1"/>
        </w:numPr>
        <w:rPr>
          <w:rFonts w:ascii="Arial" w:hAnsi="Arial" w:cs="Arial"/>
        </w:rPr>
      </w:pPr>
      <w:r w:rsidRPr="002E39E5">
        <w:rPr>
          <w:rFonts w:ascii="Arial" w:hAnsi="Arial" w:cs="Arial"/>
        </w:rPr>
        <w:t>Others arising out of consultee responses</w:t>
      </w:r>
    </w:p>
    <w:p w14:paraId="1F54133E" w14:textId="77777777" w:rsidR="000E51C0" w:rsidRPr="009800D6" w:rsidRDefault="000E51C0" w:rsidP="000E51C0">
      <w:pPr>
        <w:autoSpaceDE w:val="0"/>
        <w:autoSpaceDN w:val="0"/>
        <w:adjustRightInd w:val="0"/>
        <w:spacing w:after="0" w:line="240" w:lineRule="auto"/>
        <w:rPr>
          <w:rFonts w:ascii="Arial" w:hAnsi="Arial" w:cs="Arial"/>
          <w:b/>
        </w:rPr>
      </w:pPr>
    </w:p>
    <w:p w14:paraId="0B97E62D" w14:textId="77777777" w:rsidR="000E51C0" w:rsidRPr="00EF73B1" w:rsidRDefault="000E51C0" w:rsidP="000E51C0">
      <w:pPr>
        <w:rPr>
          <w:rStyle w:val="Hyperlink"/>
          <w:rFonts w:ascii="Arial" w:hAnsi="Arial" w:cs="Arial"/>
          <w:b/>
          <w:color w:val="auto"/>
        </w:rPr>
      </w:pPr>
      <w:r w:rsidRPr="00EF73B1">
        <w:rPr>
          <w:rStyle w:val="Hyperlink"/>
          <w:rFonts w:ascii="Arial" w:hAnsi="Arial" w:cs="Arial"/>
          <w:b/>
          <w:color w:val="auto"/>
        </w:rPr>
        <w:lastRenderedPageBreak/>
        <w:t>SEE THE HBC DEVELOPER CONTRIBUTIONS GUIDE FOR ADDITIONAL INFORMATION:</w:t>
      </w:r>
    </w:p>
    <w:p w14:paraId="5D6603F1" w14:textId="77777777" w:rsidR="000E51C0" w:rsidRPr="00EF73B1" w:rsidRDefault="000E51C0" w:rsidP="000E51C0">
      <w:pPr>
        <w:autoSpaceDE w:val="0"/>
        <w:autoSpaceDN w:val="0"/>
        <w:adjustRightInd w:val="0"/>
        <w:spacing w:after="0" w:line="240" w:lineRule="auto"/>
        <w:rPr>
          <w:rFonts w:ascii="Arial" w:hAnsi="Arial" w:cs="Arial"/>
        </w:rPr>
      </w:pPr>
      <w:r w:rsidRPr="00EF73B1">
        <w:rPr>
          <w:rFonts w:ascii="Arial" w:hAnsi="Arial" w:cs="Arial"/>
        </w:rPr>
        <w:t xml:space="preserve">Latest version accessible from: </w:t>
      </w:r>
      <w:hyperlink r:id="rId7" w:history="1">
        <w:r w:rsidRPr="00EF73B1">
          <w:rPr>
            <w:rStyle w:val="Hyperlink"/>
            <w:rFonts w:ascii="Arial" w:hAnsi="Arial" w:cs="Arial"/>
          </w:rPr>
          <w:t>https://www.havant.gov.uk/community-infrastructure-levy</w:t>
        </w:r>
      </w:hyperlink>
    </w:p>
    <w:p w14:paraId="2DB22C36" w14:textId="77777777" w:rsidR="000E51C0" w:rsidRPr="001B5EE6" w:rsidRDefault="000E51C0" w:rsidP="000E51C0">
      <w:pPr>
        <w:autoSpaceDE w:val="0"/>
        <w:autoSpaceDN w:val="0"/>
        <w:adjustRightInd w:val="0"/>
        <w:spacing w:after="0" w:line="240" w:lineRule="auto"/>
        <w:rPr>
          <w:rFonts w:ascii="Arial" w:hAnsi="Arial" w:cs="Arial"/>
          <w:b/>
          <w:color w:val="FF0000"/>
        </w:rPr>
      </w:pPr>
    </w:p>
    <w:p w14:paraId="2756F088" w14:textId="494C77C0" w:rsidR="000E51C0" w:rsidRPr="001B5EE6" w:rsidRDefault="000E51C0" w:rsidP="000E51C0">
      <w:pPr>
        <w:autoSpaceDE w:val="0"/>
        <w:autoSpaceDN w:val="0"/>
        <w:adjustRightInd w:val="0"/>
        <w:spacing w:after="0" w:line="240" w:lineRule="auto"/>
        <w:rPr>
          <w:rFonts w:ascii="Arial" w:hAnsi="Arial" w:cs="Arial"/>
        </w:rPr>
      </w:pPr>
      <w:r w:rsidRPr="001B5EE6">
        <w:rPr>
          <w:rFonts w:ascii="Arial" w:hAnsi="Arial" w:cs="Arial"/>
          <w:b/>
        </w:rPr>
        <w:t xml:space="preserve">*HBC Monitoring Fees:  </w:t>
      </w:r>
      <w:r w:rsidRPr="001B5EE6">
        <w:rPr>
          <w:rFonts w:ascii="Arial" w:hAnsi="Arial" w:cs="Arial"/>
        </w:rPr>
        <w:t xml:space="preserve">As part of the ‘Heads of Terms’ it </w:t>
      </w:r>
      <w:r w:rsidR="00284A8A">
        <w:rPr>
          <w:rFonts w:ascii="Arial" w:hAnsi="Arial" w:cs="Arial"/>
        </w:rPr>
        <w:t>is</w:t>
      </w:r>
      <w:r w:rsidRPr="001B5EE6">
        <w:rPr>
          <w:rFonts w:ascii="Arial" w:hAnsi="Arial" w:cs="Arial"/>
        </w:rPr>
        <w:t xml:space="preserve"> necessary to include monitoring fees.</w:t>
      </w:r>
      <w:r w:rsidRPr="001B5EE6">
        <w:rPr>
          <w:rFonts w:ascii="Arial" w:hAnsi="Arial" w:cs="Arial"/>
          <w:b/>
        </w:rPr>
        <w:t xml:space="preserve"> </w:t>
      </w:r>
      <w:r w:rsidRPr="001B5EE6">
        <w:rPr>
          <w:rFonts w:ascii="Arial" w:hAnsi="Arial" w:cs="Arial"/>
        </w:rPr>
        <w:t>The amended CIL Regulations effective 1/9/19 regularise the collection of S106 monitoring fees. We have an agreed schedule of charges</w:t>
      </w:r>
      <w:r w:rsidR="007F3F7C" w:rsidRPr="001B5EE6">
        <w:rPr>
          <w:rFonts w:ascii="Arial" w:hAnsi="Arial" w:cs="Arial"/>
        </w:rPr>
        <w:t>, due to be updated 1/4/2</w:t>
      </w:r>
      <w:r w:rsidR="001B5EE6" w:rsidRPr="001B5EE6">
        <w:rPr>
          <w:rFonts w:ascii="Arial" w:hAnsi="Arial" w:cs="Arial"/>
        </w:rPr>
        <w:t xml:space="preserve">3: </w:t>
      </w:r>
    </w:p>
    <w:p w14:paraId="717FBED6" w14:textId="77777777" w:rsidR="001B5EE6" w:rsidRPr="001B5EE6" w:rsidRDefault="001B5EE6" w:rsidP="000E51C0">
      <w:pPr>
        <w:autoSpaceDE w:val="0"/>
        <w:autoSpaceDN w:val="0"/>
        <w:adjustRightInd w:val="0"/>
        <w:spacing w:after="0" w:line="240" w:lineRule="auto"/>
        <w:rPr>
          <w:rFonts w:ascii="Arial" w:hAnsi="Arial" w:cs="Arial"/>
        </w:rPr>
      </w:pPr>
    </w:p>
    <w:p w14:paraId="72B66248" w14:textId="77777777" w:rsidR="001B5EE6" w:rsidRPr="001B5EE6" w:rsidRDefault="001B5EE6" w:rsidP="001B5EE6">
      <w:pPr>
        <w:shd w:val="clear" w:color="auto" w:fill="FFFFFF"/>
        <w:spacing w:after="0" w:line="240" w:lineRule="auto"/>
        <w:rPr>
          <w:rFonts w:ascii="Arial" w:eastAsia="Times New Roman" w:hAnsi="Arial" w:cs="Arial"/>
          <w:color w:val="000000"/>
          <w:lang w:eastAsia="en-GB"/>
        </w:rPr>
      </w:pPr>
      <w:r w:rsidRPr="001B5EE6">
        <w:rPr>
          <w:rFonts w:ascii="Arial" w:eastAsia="Times New Roman" w:hAnsi="Arial" w:cs="Arial"/>
          <w:b/>
          <w:bCs/>
          <w:color w:val="000000"/>
          <w:lang w:eastAsia="en-GB"/>
        </w:rPr>
        <w:t>From 1 April 2022</w:t>
      </w:r>
    </w:p>
    <w:p w14:paraId="59E55034" w14:textId="77777777" w:rsidR="001B5EE6" w:rsidRPr="001B5EE6" w:rsidRDefault="001B5EE6" w:rsidP="001B5EE6">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GB"/>
        </w:rPr>
      </w:pPr>
      <w:r w:rsidRPr="001B5EE6">
        <w:rPr>
          <w:rFonts w:ascii="Arial" w:eastAsia="Times New Roman" w:hAnsi="Arial" w:cs="Arial"/>
          <w:color w:val="000000"/>
          <w:lang w:eastAsia="en-GB"/>
        </w:rPr>
        <w:t>£798.00 per non-financial head of term (outside the scope of VAT)</w:t>
      </w:r>
    </w:p>
    <w:p w14:paraId="4D42B208" w14:textId="77777777" w:rsidR="001B5EE6" w:rsidRPr="001B5EE6" w:rsidRDefault="001B5EE6" w:rsidP="001B5EE6">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GB"/>
        </w:rPr>
      </w:pPr>
      <w:r w:rsidRPr="001B5EE6">
        <w:rPr>
          <w:rFonts w:ascii="Arial" w:eastAsia="Times New Roman" w:hAnsi="Arial" w:cs="Arial"/>
          <w:color w:val="000000"/>
          <w:lang w:eastAsia="en-GB"/>
        </w:rPr>
        <w:t>5% of cost per financial head of term (outside the scope of VAT)</w:t>
      </w:r>
    </w:p>
    <w:p w14:paraId="12B4C044" w14:textId="77777777" w:rsidR="001B5EE6" w:rsidRPr="001B5EE6" w:rsidRDefault="001B5EE6" w:rsidP="001B5EE6">
      <w:pPr>
        <w:shd w:val="clear" w:color="auto" w:fill="FFFFFF"/>
        <w:spacing w:after="0" w:line="240" w:lineRule="auto"/>
        <w:rPr>
          <w:rFonts w:ascii="Arial" w:eastAsia="Times New Roman" w:hAnsi="Arial" w:cs="Arial"/>
          <w:color w:val="000000"/>
          <w:lang w:eastAsia="en-GB"/>
        </w:rPr>
      </w:pPr>
      <w:r w:rsidRPr="001B5EE6">
        <w:rPr>
          <w:rFonts w:ascii="Arial" w:eastAsia="Times New Roman" w:hAnsi="Arial" w:cs="Arial"/>
          <w:color w:val="000000"/>
          <w:lang w:eastAsia="en-GB"/>
        </w:rPr>
        <w:t>Monitoring fee is capped at a maximum of £11,525 per application. This cap only applies to major applications (up to 250 Homes) without long term ecological management which may be subject to separate negotiation.</w:t>
      </w:r>
    </w:p>
    <w:p w14:paraId="053FAD25" w14:textId="77777777" w:rsidR="001B5EE6" w:rsidRDefault="001B5EE6" w:rsidP="000E51C0">
      <w:pPr>
        <w:autoSpaceDE w:val="0"/>
        <w:autoSpaceDN w:val="0"/>
        <w:adjustRightInd w:val="0"/>
        <w:spacing w:after="0" w:line="240" w:lineRule="auto"/>
        <w:rPr>
          <w:rFonts w:ascii="Arial" w:hAnsi="Arial" w:cs="Arial"/>
        </w:rPr>
      </w:pPr>
    </w:p>
    <w:p w14:paraId="747B9D5C" w14:textId="59D19C78" w:rsidR="00B01433" w:rsidRPr="00BA5ACD" w:rsidRDefault="005B56A3" w:rsidP="00B01433">
      <w:pPr>
        <w:rPr>
          <w:rFonts w:ascii="Arial" w:hAnsi="Arial" w:cs="Arial"/>
          <w:b/>
        </w:rPr>
      </w:pPr>
      <w:r>
        <w:rPr>
          <w:rFonts w:ascii="Arial" w:hAnsi="Arial" w:cs="Arial"/>
          <w:b/>
        </w:rPr>
        <w:t xml:space="preserve"> </w:t>
      </w:r>
      <w:r w:rsidR="00B01433">
        <w:rPr>
          <w:rFonts w:ascii="Arial" w:hAnsi="Arial" w:cs="Arial"/>
          <w:b/>
        </w:rPr>
        <w:t>**</w:t>
      </w:r>
      <w:r w:rsidR="00B01433" w:rsidRPr="00BA5ACD">
        <w:rPr>
          <w:rFonts w:ascii="Arial" w:hAnsi="Arial" w:cs="Arial"/>
          <w:b/>
        </w:rPr>
        <w:t>Solent Recreation Mitigation Strategy</w:t>
      </w:r>
    </w:p>
    <w:p w14:paraId="4550CA15" w14:textId="6EECA18A" w:rsidR="00B01433" w:rsidRDefault="00B01433" w:rsidP="00B01433">
      <w:pPr>
        <w:rPr>
          <w:rStyle w:val="Hyperlink"/>
          <w:rFonts w:ascii="Arial" w:hAnsi="Arial" w:cs="Arial"/>
        </w:rPr>
      </w:pPr>
      <w:r>
        <w:rPr>
          <w:rFonts w:ascii="Arial" w:hAnsi="Arial" w:cs="Arial"/>
        </w:rPr>
        <w:t>The charges updated 1/4/2</w:t>
      </w:r>
      <w:r w:rsidR="001B5EE6">
        <w:rPr>
          <w:rFonts w:ascii="Arial" w:hAnsi="Arial" w:cs="Arial"/>
        </w:rPr>
        <w:t>2</w:t>
      </w:r>
      <w:r>
        <w:rPr>
          <w:rFonts w:ascii="Arial" w:hAnsi="Arial" w:cs="Arial"/>
        </w:rPr>
        <w:t xml:space="preserve"> are set out below, b</w:t>
      </w:r>
      <w:r w:rsidRPr="00985E1B">
        <w:rPr>
          <w:rFonts w:ascii="Arial" w:hAnsi="Arial" w:cs="Arial"/>
        </w:rPr>
        <w:t xml:space="preserve">ased on </w:t>
      </w:r>
      <w:r>
        <w:rPr>
          <w:rFonts w:ascii="Arial" w:hAnsi="Arial" w:cs="Arial"/>
        </w:rPr>
        <w:t xml:space="preserve">the maximum </w:t>
      </w:r>
      <w:r w:rsidRPr="00985E1B">
        <w:rPr>
          <w:rFonts w:ascii="Arial" w:hAnsi="Arial" w:cs="Arial"/>
        </w:rPr>
        <w:t xml:space="preserve">number of </w:t>
      </w:r>
      <w:r w:rsidR="00E57073" w:rsidRPr="00E57073">
        <w:rPr>
          <w:rFonts w:ascii="Arial" w:hAnsi="Arial" w:cs="Arial"/>
          <w:b/>
          <w:bCs/>
        </w:rPr>
        <w:t>net</w:t>
      </w:r>
      <w:r w:rsidR="00E57073">
        <w:rPr>
          <w:rFonts w:ascii="Arial" w:hAnsi="Arial" w:cs="Arial"/>
        </w:rPr>
        <w:t xml:space="preserve"> new </w:t>
      </w:r>
      <w:r w:rsidRPr="00985E1B">
        <w:rPr>
          <w:rFonts w:ascii="Arial" w:hAnsi="Arial" w:cs="Arial"/>
        </w:rPr>
        <w:t>dwellings and bedroom sizes</w:t>
      </w:r>
      <w:r>
        <w:rPr>
          <w:rFonts w:ascii="Arial" w:hAnsi="Arial" w:cs="Arial"/>
        </w:rPr>
        <w:t>;</w:t>
      </w:r>
      <w:r w:rsidRPr="00DE38F1">
        <w:rPr>
          <w:rFonts w:ascii="Arial" w:hAnsi="Arial" w:cs="Arial"/>
        </w:rPr>
        <w:t xml:space="preserve"> </w:t>
      </w:r>
      <w:r>
        <w:rPr>
          <w:rFonts w:ascii="Arial" w:hAnsi="Arial" w:cs="Arial"/>
        </w:rPr>
        <w:t>contribution will be indexed (RPI), these rates will be updated 1/4/2</w:t>
      </w:r>
      <w:r w:rsidR="001B5EE6">
        <w:rPr>
          <w:rFonts w:ascii="Arial" w:hAnsi="Arial" w:cs="Arial"/>
        </w:rPr>
        <w:t>3</w:t>
      </w:r>
      <w:r>
        <w:rPr>
          <w:rFonts w:ascii="Arial" w:hAnsi="Arial" w:cs="Arial"/>
        </w:rPr>
        <w:t xml:space="preserve">: </w:t>
      </w:r>
      <w:hyperlink r:id="rId8" w:history="1">
        <w:r w:rsidRPr="003563BC">
          <w:rPr>
            <w:rStyle w:val="Hyperlink"/>
            <w:rFonts w:ascii="Arial" w:hAnsi="Arial" w:cs="Arial"/>
          </w:rPr>
          <w:t>http://www.havant.gov.uk/unilateral-undertaking-solent-recreation-mitigation-strategy</w:t>
        </w:r>
      </w:hyperlink>
    </w:p>
    <w:tbl>
      <w:tblPr>
        <w:tblStyle w:val="TableGrid"/>
        <w:tblW w:w="0" w:type="auto"/>
        <w:jc w:val="center"/>
        <w:tblLook w:val="04A0" w:firstRow="1" w:lastRow="0" w:firstColumn="1" w:lastColumn="0" w:noHBand="0" w:noVBand="1"/>
      </w:tblPr>
      <w:tblGrid>
        <w:gridCol w:w="2222"/>
        <w:gridCol w:w="1106"/>
        <w:gridCol w:w="5688"/>
      </w:tblGrid>
      <w:tr w:rsidR="00087E9C" w:rsidRPr="00167782" w14:paraId="0419D57C" w14:textId="77777777" w:rsidTr="00A947CB">
        <w:trPr>
          <w:trHeight w:val="542"/>
          <w:jc w:val="center"/>
        </w:trPr>
        <w:tc>
          <w:tcPr>
            <w:tcW w:w="2222" w:type="dxa"/>
          </w:tcPr>
          <w:p w14:paraId="378CB561"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t>No of Bedrooms</w:t>
            </w:r>
          </w:p>
        </w:tc>
        <w:tc>
          <w:tcPr>
            <w:tcW w:w="1106" w:type="dxa"/>
          </w:tcPr>
          <w:p w14:paraId="2C171B3D"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t>Amount</w:t>
            </w:r>
          </w:p>
        </w:tc>
        <w:tc>
          <w:tcPr>
            <w:tcW w:w="5688" w:type="dxa"/>
          </w:tcPr>
          <w:p w14:paraId="0D7CB434"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b/>
                <w:sz w:val="20"/>
                <w:szCs w:val="20"/>
              </w:rPr>
            </w:pPr>
            <w:r w:rsidRPr="008D1DF8">
              <w:rPr>
                <w:rFonts w:ascii="Arial" w:hAnsi="Arial" w:cs="Arial"/>
                <w:b/>
                <w:sz w:val="20"/>
                <w:szCs w:val="20"/>
              </w:rPr>
              <w:t>Monitoring Fee</w:t>
            </w:r>
          </w:p>
        </w:tc>
      </w:tr>
      <w:tr w:rsidR="00087E9C" w:rsidRPr="00167782" w14:paraId="3A3C1BD8" w14:textId="77777777" w:rsidTr="00A947CB">
        <w:trPr>
          <w:trHeight w:val="451"/>
          <w:jc w:val="center"/>
        </w:trPr>
        <w:tc>
          <w:tcPr>
            <w:tcW w:w="2222" w:type="dxa"/>
          </w:tcPr>
          <w:p w14:paraId="6E1F9810"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1</w:t>
            </w:r>
          </w:p>
        </w:tc>
        <w:tc>
          <w:tcPr>
            <w:tcW w:w="1106" w:type="dxa"/>
          </w:tcPr>
          <w:p w14:paraId="4D19897C" w14:textId="00F08E1B"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E57073">
              <w:rPr>
                <w:rFonts w:ascii="Arial" w:hAnsi="Arial" w:cs="Arial"/>
                <w:sz w:val="20"/>
                <w:szCs w:val="20"/>
              </w:rPr>
              <w:t>390</w:t>
            </w:r>
          </w:p>
        </w:tc>
        <w:tc>
          <w:tcPr>
            <w:tcW w:w="5688" w:type="dxa"/>
            <w:vMerge w:val="restart"/>
          </w:tcPr>
          <w:p w14:paraId="67BC34A2" w14:textId="7DF7CF54"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sz w:val="20"/>
                <w:szCs w:val="20"/>
              </w:rPr>
            </w:pPr>
            <w:r w:rsidRPr="008D1DF8">
              <w:rPr>
                <w:rFonts w:ascii="Arial" w:hAnsi="Arial" w:cs="Arial"/>
                <w:sz w:val="20"/>
                <w:szCs w:val="20"/>
              </w:rPr>
              <w:t>Plus 5% of total (sum may be included in ‘</w:t>
            </w:r>
            <w:r w:rsidR="00E57073">
              <w:rPr>
                <w:rFonts w:ascii="Arial" w:hAnsi="Arial" w:cs="Arial"/>
                <w:sz w:val="20"/>
                <w:szCs w:val="20"/>
              </w:rPr>
              <w:t xml:space="preserve">HBC </w:t>
            </w:r>
            <w:r w:rsidRPr="008D1DF8">
              <w:rPr>
                <w:rFonts w:ascii="Arial" w:hAnsi="Arial" w:cs="Arial"/>
                <w:sz w:val="20"/>
                <w:szCs w:val="20"/>
              </w:rPr>
              <w:t>Monitoring Fees’)</w:t>
            </w:r>
          </w:p>
        </w:tc>
      </w:tr>
      <w:tr w:rsidR="00087E9C" w:rsidRPr="00167782" w14:paraId="57FB4F4C" w14:textId="77777777" w:rsidTr="00A947CB">
        <w:trPr>
          <w:trHeight w:val="451"/>
          <w:jc w:val="center"/>
        </w:trPr>
        <w:tc>
          <w:tcPr>
            <w:tcW w:w="2222" w:type="dxa"/>
          </w:tcPr>
          <w:p w14:paraId="2F050403"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2</w:t>
            </w:r>
          </w:p>
        </w:tc>
        <w:tc>
          <w:tcPr>
            <w:tcW w:w="1106" w:type="dxa"/>
          </w:tcPr>
          <w:p w14:paraId="6E77B90F" w14:textId="73F5C4D8"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E57073">
              <w:rPr>
                <w:rFonts w:ascii="Arial" w:hAnsi="Arial" w:cs="Arial"/>
                <w:sz w:val="20"/>
                <w:szCs w:val="20"/>
              </w:rPr>
              <w:t>563</w:t>
            </w:r>
          </w:p>
        </w:tc>
        <w:tc>
          <w:tcPr>
            <w:tcW w:w="5688" w:type="dxa"/>
            <w:vMerge/>
          </w:tcPr>
          <w:p w14:paraId="020369B7" w14:textId="77777777" w:rsidR="00087E9C" w:rsidRPr="00167782"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087E9C" w:rsidRPr="00167782" w14:paraId="6F7B4312" w14:textId="77777777" w:rsidTr="00A947CB">
        <w:trPr>
          <w:trHeight w:val="451"/>
          <w:jc w:val="center"/>
        </w:trPr>
        <w:tc>
          <w:tcPr>
            <w:tcW w:w="2222" w:type="dxa"/>
          </w:tcPr>
          <w:p w14:paraId="5F1DEAD4"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3</w:t>
            </w:r>
          </w:p>
        </w:tc>
        <w:tc>
          <w:tcPr>
            <w:tcW w:w="1106" w:type="dxa"/>
          </w:tcPr>
          <w:p w14:paraId="19C6BE27" w14:textId="6A5A26C9"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E57073">
              <w:rPr>
                <w:rFonts w:ascii="Arial" w:hAnsi="Arial" w:cs="Arial"/>
                <w:sz w:val="20"/>
                <w:szCs w:val="20"/>
              </w:rPr>
              <w:t>735</w:t>
            </w:r>
          </w:p>
        </w:tc>
        <w:tc>
          <w:tcPr>
            <w:tcW w:w="5688" w:type="dxa"/>
            <w:vMerge/>
          </w:tcPr>
          <w:p w14:paraId="7879B0A9" w14:textId="77777777" w:rsidR="00087E9C" w:rsidRPr="00167782"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087E9C" w:rsidRPr="00167782" w14:paraId="13A993EB" w14:textId="77777777" w:rsidTr="00A947CB">
        <w:trPr>
          <w:trHeight w:val="451"/>
          <w:jc w:val="center"/>
        </w:trPr>
        <w:tc>
          <w:tcPr>
            <w:tcW w:w="2222" w:type="dxa"/>
          </w:tcPr>
          <w:p w14:paraId="66C8F728"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4</w:t>
            </w:r>
          </w:p>
        </w:tc>
        <w:tc>
          <w:tcPr>
            <w:tcW w:w="1106" w:type="dxa"/>
          </w:tcPr>
          <w:p w14:paraId="46BEAFD8" w14:textId="1F8EEE0C"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864</w:t>
            </w:r>
          </w:p>
        </w:tc>
        <w:tc>
          <w:tcPr>
            <w:tcW w:w="5688" w:type="dxa"/>
            <w:vMerge/>
          </w:tcPr>
          <w:p w14:paraId="1C6CC40B" w14:textId="77777777" w:rsidR="00087E9C" w:rsidRPr="00167782"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087E9C" w:rsidRPr="00167782" w14:paraId="6357B716" w14:textId="77777777" w:rsidTr="00A947CB">
        <w:trPr>
          <w:trHeight w:val="70"/>
          <w:jc w:val="center"/>
        </w:trPr>
        <w:tc>
          <w:tcPr>
            <w:tcW w:w="2222" w:type="dxa"/>
          </w:tcPr>
          <w:p w14:paraId="6B9C6181" w14:textId="77777777"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5+</w:t>
            </w:r>
          </w:p>
        </w:tc>
        <w:tc>
          <w:tcPr>
            <w:tcW w:w="1106" w:type="dxa"/>
          </w:tcPr>
          <w:p w14:paraId="69558879" w14:textId="49FF2A5E" w:rsidR="00087E9C" w:rsidRPr="008D1DF8"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1,</w:t>
            </w:r>
            <w:r w:rsidR="00E57073">
              <w:rPr>
                <w:rFonts w:ascii="Arial" w:hAnsi="Arial" w:cs="Arial"/>
                <w:sz w:val="20"/>
                <w:szCs w:val="20"/>
              </w:rPr>
              <w:t>014</w:t>
            </w:r>
          </w:p>
        </w:tc>
        <w:tc>
          <w:tcPr>
            <w:tcW w:w="5688" w:type="dxa"/>
            <w:vMerge/>
          </w:tcPr>
          <w:p w14:paraId="1161787B" w14:textId="77777777" w:rsidR="00087E9C" w:rsidRPr="00167782" w:rsidRDefault="00087E9C" w:rsidP="00E935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bl>
    <w:p w14:paraId="3717ADDF" w14:textId="32942B21" w:rsidR="00087E9C" w:rsidRDefault="00087E9C" w:rsidP="00B0721C">
      <w:pPr>
        <w:spacing w:after="160" w:line="259" w:lineRule="auto"/>
        <w:rPr>
          <w:rFonts w:ascii="Arial" w:hAnsi="Arial" w:cs="Arial"/>
          <w:b/>
          <w:lang w:val="en"/>
        </w:rPr>
      </w:pPr>
    </w:p>
    <w:p w14:paraId="794756AB" w14:textId="42ED374E" w:rsidR="00A257E3" w:rsidRDefault="00A257E3" w:rsidP="00B0721C">
      <w:pPr>
        <w:spacing w:after="160" w:line="259" w:lineRule="auto"/>
        <w:rPr>
          <w:rFonts w:ascii="Arial" w:hAnsi="Arial" w:cs="Arial"/>
          <w:b/>
          <w:lang w:val="en"/>
        </w:rPr>
      </w:pPr>
      <w:r>
        <w:rPr>
          <w:rFonts w:ascii="Arial" w:hAnsi="Arial" w:cs="Arial"/>
          <w:b/>
          <w:lang w:val="en"/>
        </w:rPr>
        <w:t>Appendix A</w:t>
      </w:r>
    </w:p>
    <w:p w14:paraId="4457B5B4" w14:textId="77777777" w:rsidR="001B5EE6" w:rsidRPr="009D7EE0" w:rsidRDefault="001B5EE6" w:rsidP="001B5EE6">
      <w:pPr>
        <w:rPr>
          <w:rFonts w:ascii="Arial" w:hAnsi="Arial" w:cs="Arial"/>
          <w:b/>
          <w:lang w:val="en"/>
        </w:rPr>
      </w:pPr>
      <w:r w:rsidRPr="009D7EE0">
        <w:rPr>
          <w:rFonts w:ascii="Arial" w:hAnsi="Arial" w:cs="Arial"/>
          <w:b/>
          <w:lang w:val="en"/>
        </w:rPr>
        <w:t xml:space="preserve">Appendix A: Extracts from Planning Practice Guidance – CIL </w:t>
      </w:r>
    </w:p>
    <w:p w14:paraId="73E28252" w14:textId="77777777" w:rsidR="001B5EE6" w:rsidRPr="009D7EE0" w:rsidRDefault="001B5EE6" w:rsidP="001B5EE6">
      <w:pPr>
        <w:rPr>
          <w:rStyle w:val="Hyperlink"/>
          <w:rFonts w:ascii="Arial" w:hAnsi="Arial" w:cs="Arial"/>
          <w:b/>
          <w:color w:val="auto"/>
          <w:lang w:val="en"/>
        </w:rPr>
      </w:pPr>
      <w:hyperlink r:id="rId9" w:history="1">
        <w:r w:rsidRPr="009D7EE0">
          <w:rPr>
            <w:rStyle w:val="Hyperlink"/>
            <w:rFonts w:ascii="Arial" w:hAnsi="Arial" w:cs="Arial"/>
            <w:color w:val="auto"/>
            <w:lang w:val="en"/>
          </w:rPr>
          <w:t>https://www.gov.uk/guidance/community-infrastructure-levy</w:t>
        </w:r>
      </w:hyperlink>
    </w:p>
    <w:p w14:paraId="53AE6C03"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Where a planning permission is phased, each phase of the development is treated as if it were a separate chargeable development for levy purposes (see </w:t>
      </w:r>
      <w:hyperlink r:id="rId10" w:history="1">
        <w:r w:rsidRPr="009D7EE0">
          <w:rPr>
            <w:rFonts w:ascii="Times New Roman" w:eastAsia="Times New Roman" w:hAnsi="Times New Roman" w:cs="Times New Roman"/>
            <w:sz w:val="24"/>
            <w:szCs w:val="24"/>
            <w:u w:val="single"/>
            <w:lang w:val="en" w:eastAsia="en-GB"/>
          </w:rPr>
          <w:t>regulation 8(3A) as amended by 2014 Regulations</w:t>
        </w:r>
      </w:hyperlink>
      <w:r w:rsidRPr="009D7EE0">
        <w:rPr>
          <w:rFonts w:ascii="Times New Roman" w:eastAsia="Times New Roman" w:hAnsi="Times New Roman" w:cs="Times New Roman"/>
          <w:sz w:val="24"/>
          <w:szCs w:val="24"/>
          <w:lang w:val="en" w:eastAsia="en-GB"/>
        </w:rPr>
        <w:t xml:space="preserve">). This may apply to schemes which have full planning permission as well as to outline permissions. For further information on outline permissions, see </w:t>
      </w:r>
      <w:hyperlink r:id="rId11" w:anchor="para044" w:history="1">
        <w:r w:rsidRPr="009D7EE0">
          <w:rPr>
            <w:rFonts w:ascii="Times New Roman" w:eastAsia="Times New Roman" w:hAnsi="Times New Roman" w:cs="Times New Roman"/>
            <w:sz w:val="24"/>
            <w:szCs w:val="24"/>
            <w:u w:val="single"/>
            <w:lang w:val="en" w:eastAsia="en-GB"/>
          </w:rPr>
          <w:t>‘When does a charging schedule come into effect?’</w:t>
        </w:r>
      </w:hyperlink>
      <w:r w:rsidRPr="009D7EE0">
        <w:rPr>
          <w:rFonts w:ascii="Times New Roman" w:eastAsia="Times New Roman" w:hAnsi="Times New Roman" w:cs="Times New Roman"/>
          <w:sz w:val="24"/>
          <w:szCs w:val="24"/>
          <w:lang w:val="en" w:eastAsia="en-GB"/>
        </w:rPr>
        <w:t xml:space="preserve"> and for phased development see </w:t>
      </w:r>
      <w:hyperlink r:id="rId12" w:anchor="para129" w:history="1">
        <w:r w:rsidRPr="009D7EE0">
          <w:rPr>
            <w:rFonts w:ascii="Times New Roman" w:eastAsia="Times New Roman" w:hAnsi="Times New Roman" w:cs="Times New Roman"/>
            <w:sz w:val="24"/>
            <w:szCs w:val="24"/>
            <w:u w:val="single"/>
            <w:lang w:val="en" w:eastAsia="en-GB"/>
          </w:rPr>
          <w:t>‘Is there another way to allow phased payments?’</w:t>
        </w:r>
      </w:hyperlink>
      <w:r w:rsidRPr="009D7EE0">
        <w:rPr>
          <w:rFonts w:ascii="Times New Roman" w:eastAsia="Times New Roman" w:hAnsi="Times New Roman" w:cs="Times New Roman"/>
          <w:sz w:val="24"/>
          <w:szCs w:val="24"/>
          <w:lang w:val="en" w:eastAsia="en-GB"/>
        </w:rPr>
        <w:t>.</w:t>
      </w:r>
    </w:p>
    <w:p w14:paraId="6572A267"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Paragraph: 008 Reference ID: 25-008-20190901</w:t>
      </w:r>
    </w:p>
    <w:p w14:paraId="79CD3829" w14:textId="77777777" w:rsidR="001B5EE6" w:rsidRPr="009D7EE0" w:rsidRDefault="001B5EE6" w:rsidP="001B5EE6">
      <w:pPr>
        <w:spacing w:before="100" w:beforeAutospacing="1" w:after="100" w:afterAutospacing="1" w:line="240" w:lineRule="auto"/>
        <w:rPr>
          <w:rFonts w:ascii="Arial" w:hAnsi="Arial" w:cs="Arial"/>
          <w:b/>
          <w:lang w:val="en"/>
        </w:rPr>
      </w:pPr>
      <w:r w:rsidRPr="009D7EE0">
        <w:rPr>
          <w:rFonts w:ascii="Times New Roman" w:eastAsia="Times New Roman" w:hAnsi="Times New Roman" w:cs="Times New Roman"/>
          <w:sz w:val="24"/>
          <w:szCs w:val="24"/>
          <w:lang w:val="en" w:eastAsia="en-GB"/>
        </w:rPr>
        <w:t>Revision date: 01 09 2019</w:t>
      </w:r>
    </w:p>
    <w:p w14:paraId="50F06891" w14:textId="77777777" w:rsidR="001B5EE6" w:rsidRPr="009D7EE0" w:rsidRDefault="001B5EE6" w:rsidP="001B5EE6">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9D7EE0">
        <w:rPr>
          <w:rFonts w:ascii="Times New Roman" w:eastAsia="Times New Roman" w:hAnsi="Times New Roman" w:cs="Times New Roman"/>
          <w:b/>
          <w:bCs/>
          <w:sz w:val="27"/>
          <w:szCs w:val="27"/>
          <w:lang w:val="en" w:eastAsia="en-GB"/>
        </w:rPr>
        <w:lastRenderedPageBreak/>
        <w:t>Is there another way to allow phased payments?</w:t>
      </w:r>
    </w:p>
    <w:p w14:paraId="31E85D44"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Where the planning authority is willing to accept it, a planning permission for a development can be subdivided into ‘phases’ for the purposes of the levy (see </w:t>
      </w:r>
      <w:hyperlink r:id="rId13" w:anchor="para008" w:history="1">
        <w:r w:rsidRPr="009D7EE0">
          <w:rPr>
            <w:rFonts w:ascii="Times New Roman" w:eastAsia="Times New Roman" w:hAnsi="Times New Roman" w:cs="Times New Roman"/>
            <w:sz w:val="24"/>
            <w:szCs w:val="24"/>
            <w:u w:val="single"/>
            <w:lang w:val="en" w:eastAsia="en-GB"/>
          </w:rPr>
          <w:t>‘How does the levy relate to planning permission?’</w:t>
        </w:r>
      </w:hyperlink>
      <w:r w:rsidRPr="009D7EE0">
        <w:rPr>
          <w:rFonts w:ascii="Times New Roman" w:eastAsia="Times New Roman" w:hAnsi="Times New Roman" w:cs="Times New Roman"/>
          <w:sz w:val="24"/>
          <w:szCs w:val="24"/>
          <w:lang w:val="en" w:eastAsia="en-GB"/>
        </w:rPr>
        <w:t>). This is expected to be especially useful for large scale development, which is an essential element of increasing housing supply.</w:t>
      </w:r>
    </w:p>
    <w:p w14:paraId="3A4EC455"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Large scale developments which are delivered over </w:t>
      </w:r>
      <w:proofErr w:type="gramStart"/>
      <w:r w:rsidRPr="009D7EE0">
        <w:rPr>
          <w:rFonts w:ascii="Times New Roman" w:eastAsia="Times New Roman" w:hAnsi="Times New Roman" w:cs="Times New Roman"/>
          <w:sz w:val="24"/>
          <w:szCs w:val="24"/>
          <w:lang w:val="en" w:eastAsia="en-GB"/>
        </w:rPr>
        <w:t>a number of</w:t>
      </w:r>
      <w:proofErr w:type="gramEnd"/>
      <w:r w:rsidRPr="009D7EE0">
        <w:rPr>
          <w:rFonts w:ascii="Times New Roman" w:eastAsia="Times New Roman" w:hAnsi="Times New Roman" w:cs="Times New Roman"/>
          <w:sz w:val="24"/>
          <w:szCs w:val="24"/>
          <w:lang w:val="en" w:eastAsia="en-GB"/>
        </w:rPr>
        <w:t xml:space="preserve"> years face particular issues in relation to cashflow and the delivery of on-site infrastructure. The regulations allow for both detailed and outline permissions (and therefore ‘hybrid’ permissions as well) to be treated as phased developments for the purposes of the levy. </w:t>
      </w:r>
      <w:hyperlink r:id="rId14" w:history="1">
        <w:r w:rsidRPr="009D7EE0">
          <w:rPr>
            <w:rFonts w:ascii="Times New Roman" w:eastAsia="Times New Roman" w:hAnsi="Times New Roman" w:cs="Times New Roman"/>
            <w:sz w:val="24"/>
            <w:szCs w:val="24"/>
            <w:u w:val="single"/>
            <w:lang w:val="en" w:eastAsia="en-GB"/>
          </w:rPr>
          <w:t>Regulation 9(4)</w:t>
        </w:r>
      </w:hyperlink>
      <w:r w:rsidRPr="009D7EE0">
        <w:rPr>
          <w:rFonts w:ascii="Times New Roman" w:eastAsia="Times New Roman" w:hAnsi="Times New Roman" w:cs="Times New Roman"/>
          <w:sz w:val="24"/>
          <w:szCs w:val="24"/>
          <w:lang w:val="en" w:eastAsia="en-GB"/>
        </w:rPr>
        <w:t xml:space="preserve"> provides that each phase of a phased planning permission is a separate chargeable development for CIL purposes and therefore would be liable for separate payments for each phase, and each phased may benefit from any instalment policy that may be in force.</w:t>
      </w:r>
    </w:p>
    <w:p w14:paraId="7ACEC76B"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The principle of phased delivery must be expressly set out in the planning permission. Local authorities should work positively with developers to allow such developments to be delivered in phases.</w:t>
      </w:r>
    </w:p>
    <w:p w14:paraId="69C54C34"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hyperlink r:id="rId15" w:anchor="para137" w:history="1">
        <w:r w:rsidRPr="009D7EE0">
          <w:rPr>
            <w:rFonts w:ascii="Times New Roman" w:eastAsia="Times New Roman" w:hAnsi="Times New Roman" w:cs="Times New Roman"/>
            <w:sz w:val="24"/>
            <w:szCs w:val="24"/>
            <w:u w:val="single"/>
            <w:lang w:val="en" w:eastAsia="en-GB"/>
          </w:rPr>
          <w:t>Phased developments may also benefit from abatement.</w:t>
        </w:r>
      </w:hyperlink>
    </w:p>
    <w:p w14:paraId="51095C4D"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Paragraph: 129 Reference ID: 25-129-20190901</w:t>
      </w:r>
    </w:p>
    <w:p w14:paraId="6F26E803" w14:textId="77777777" w:rsidR="001B5EE6" w:rsidRPr="009D7EE0" w:rsidRDefault="001B5EE6" w:rsidP="001B5EE6">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Revision date: 01 09 2019</w:t>
      </w:r>
    </w:p>
    <w:p w14:paraId="429FA676" w14:textId="77777777" w:rsidR="001B5EE6" w:rsidRPr="009D7EE0" w:rsidRDefault="001B5EE6" w:rsidP="001B5EE6">
      <w:pPr>
        <w:rPr>
          <w:rFonts w:ascii="Arial" w:hAnsi="Arial" w:cs="Arial"/>
        </w:rPr>
      </w:pPr>
    </w:p>
    <w:p w14:paraId="01C1E1F3" w14:textId="77777777" w:rsidR="001B5EE6" w:rsidRPr="009D7EE0" w:rsidRDefault="001B5EE6" w:rsidP="001B5EE6">
      <w:pPr>
        <w:autoSpaceDE w:val="0"/>
        <w:autoSpaceDN w:val="0"/>
        <w:adjustRightInd w:val="0"/>
        <w:spacing w:after="0" w:line="240" w:lineRule="auto"/>
        <w:rPr>
          <w:rFonts w:ascii="Arial" w:hAnsi="Arial" w:cs="Arial"/>
        </w:rPr>
      </w:pPr>
    </w:p>
    <w:p w14:paraId="216F7884" w14:textId="77777777" w:rsidR="00A257E3" w:rsidRDefault="00A257E3" w:rsidP="00B0721C">
      <w:pPr>
        <w:spacing w:after="160" w:line="259" w:lineRule="auto"/>
        <w:rPr>
          <w:rFonts w:ascii="Arial" w:hAnsi="Arial" w:cs="Arial"/>
          <w:b/>
          <w:lang w:val="en"/>
        </w:rPr>
      </w:pPr>
    </w:p>
    <w:sectPr w:rsidR="00A257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68C3"/>
    <w:multiLevelType w:val="multilevel"/>
    <w:tmpl w:val="9564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F67"/>
    <w:rsid w:val="000470D0"/>
    <w:rsid w:val="00087E9C"/>
    <w:rsid w:val="000B0EE3"/>
    <w:rsid w:val="000B198B"/>
    <w:rsid w:val="000E51C0"/>
    <w:rsid w:val="00146D6D"/>
    <w:rsid w:val="001544FE"/>
    <w:rsid w:val="001844DF"/>
    <w:rsid w:val="001B2B6E"/>
    <w:rsid w:val="001B5EE6"/>
    <w:rsid w:val="001C0A55"/>
    <w:rsid w:val="001C5CD9"/>
    <w:rsid w:val="00242FF1"/>
    <w:rsid w:val="00284A8A"/>
    <w:rsid w:val="002A1652"/>
    <w:rsid w:val="002A6D3D"/>
    <w:rsid w:val="002E39E5"/>
    <w:rsid w:val="00313624"/>
    <w:rsid w:val="00314489"/>
    <w:rsid w:val="003420A9"/>
    <w:rsid w:val="003A3A79"/>
    <w:rsid w:val="00446494"/>
    <w:rsid w:val="00470F24"/>
    <w:rsid w:val="00472E88"/>
    <w:rsid w:val="004829B0"/>
    <w:rsid w:val="005105C0"/>
    <w:rsid w:val="005B56A3"/>
    <w:rsid w:val="005C34ED"/>
    <w:rsid w:val="005E5646"/>
    <w:rsid w:val="005F79EA"/>
    <w:rsid w:val="006A6818"/>
    <w:rsid w:val="006D5554"/>
    <w:rsid w:val="007505AF"/>
    <w:rsid w:val="00791DE2"/>
    <w:rsid w:val="007F0B17"/>
    <w:rsid w:val="007F3F7C"/>
    <w:rsid w:val="00812CB0"/>
    <w:rsid w:val="00852957"/>
    <w:rsid w:val="008C6592"/>
    <w:rsid w:val="008C6D1F"/>
    <w:rsid w:val="008D0653"/>
    <w:rsid w:val="008D1DF8"/>
    <w:rsid w:val="008E4FEE"/>
    <w:rsid w:val="00A257E3"/>
    <w:rsid w:val="00A328B9"/>
    <w:rsid w:val="00A51637"/>
    <w:rsid w:val="00A947CB"/>
    <w:rsid w:val="00AB77F8"/>
    <w:rsid w:val="00AC3E43"/>
    <w:rsid w:val="00AD45DB"/>
    <w:rsid w:val="00AF57BE"/>
    <w:rsid w:val="00B01433"/>
    <w:rsid w:val="00B0721C"/>
    <w:rsid w:val="00B35C8A"/>
    <w:rsid w:val="00C02834"/>
    <w:rsid w:val="00C05A0A"/>
    <w:rsid w:val="00C14BFC"/>
    <w:rsid w:val="00CE0900"/>
    <w:rsid w:val="00D643AE"/>
    <w:rsid w:val="00D87C30"/>
    <w:rsid w:val="00DE236E"/>
    <w:rsid w:val="00DE2EA2"/>
    <w:rsid w:val="00E02F42"/>
    <w:rsid w:val="00E533D9"/>
    <w:rsid w:val="00E57073"/>
    <w:rsid w:val="00E76B57"/>
    <w:rsid w:val="00EE057E"/>
    <w:rsid w:val="00F21E15"/>
    <w:rsid w:val="00F4604C"/>
    <w:rsid w:val="00F96359"/>
    <w:rsid w:val="00FA6226"/>
    <w:rsid w:val="00FC370C"/>
    <w:rsid w:val="00FF7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4D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semiHidden/>
    <w:unhideWhenUsed/>
    <w:rsid w:val="001B2B6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2415160">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 w:id="180920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unilateral-undertaking-solent-recreation-mitigation-strategy" TargetMode="External"/><Relationship Id="rId13" Type="http://schemas.openxmlformats.org/officeDocument/2006/relationships/hyperlink" Target="https://www.gov.uk/guidance/community-infrastructure-levy" TargetMode="External"/><Relationship Id="rId3" Type="http://schemas.openxmlformats.org/officeDocument/2006/relationships/settings" Target="settings.xml"/><Relationship Id="rId7" Type="http://schemas.openxmlformats.org/officeDocument/2006/relationships/hyperlink" Target="https://www.havant.gov.uk/community-infrastructure-levy" TargetMode="External"/><Relationship Id="rId12" Type="http://schemas.openxmlformats.org/officeDocument/2006/relationships/hyperlink" Target="https://www.gov.uk/guidance/community-infrastructure-lev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push.gov.uk/work/mitigation-schemes-available-to-developers/" TargetMode="External"/><Relationship Id="rId11" Type="http://schemas.openxmlformats.org/officeDocument/2006/relationships/hyperlink" Target="https://www.gov.uk/guidance/community-infrastructure-levy" TargetMode="External"/><Relationship Id="rId5" Type="http://schemas.openxmlformats.org/officeDocument/2006/relationships/hyperlink" Target="http://www.havant.gov.uk/sites/default/files/documents/HBC%20CIL%20Charging%20Schedule%20Full%20Document%20Feb%202013.pdf" TargetMode="External"/><Relationship Id="rId15" Type="http://schemas.openxmlformats.org/officeDocument/2006/relationships/hyperlink" Target="https://www.gov.uk/guidance/community-infrastructure-levy" TargetMode="External"/><Relationship Id="rId10" Type="http://schemas.openxmlformats.org/officeDocument/2006/relationships/hyperlink" Target="http://www.legislation.gov.uk/uksi/2014/385/regulation/4/made" TargetMode="External"/><Relationship Id="rId4" Type="http://schemas.openxmlformats.org/officeDocument/2006/relationships/webSettings" Target="webSettings.xml"/><Relationship Id="rId9" Type="http://schemas.openxmlformats.org/officeDocument/2006/relationships/hyperlink" Target="https://www.gov.uk/guidance/community-infrastructure-levy" TargetMode="External"/><Relationship Id="rId14" Type="http://schemas.openxmlformats.org/officeDocument/2006/relationships/hyperlink" Target="http://www.legislation.gov.uk/uksi/2010/948/regulation/9/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Weaver, Louise</cp:lastModifiedBy>
  <cp:revision>24</cp:revision>
  <dcterms:created xsi:type="dcterms:W3CDTF">2021-07-23T15:13:00Z</dcterms:created>
  <dcterms:modified xsi:type="dcterms:W3CDTF">2022-03-18T12:44:00Z</dcterms:modified>
</cp:coreProperties>
</file>