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DB9D3" w14:textId="3A31239C" w:rsidR="009D7EE0" w:rsidRPr="008B0543" w:rsidRDefault="00BE015B" w:rsidP="000358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Style w:val="fontstyle21"/>
          <w:rFonts w:ascii="Arial" w:hAnsi="Arial" w:cs="Arial"/>
          <w:b/>
          <w:color w:val="auto"/>
        </w:rPr>
      </w:pPr>
      <w:r w:rsidRPr="008B0543">
        <w:rPr>
          <w:rStyle w:val="fontstyle21"/>
          <w:rFonts w:ascii="Arial" w:hAnsi="Arial" w:cs="Arial"/>
          <w:b/>
          <w:color w:val="auto"/>
        </w:rPr>
        <w:t>APP/21/01451 Southleigh Park House, Eastleigh Road, Havant</w:t>
      </w:r>
    </w:p>
    <w:p w14:paraId="0A2FE7B3" w14:textId="77777777" w:rsidR="00BE015B" w:rsidRPr="009D7EE0" w:rsidRDefault="00BE015B" w:rsidP="000358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color w:val="FF0000"/>
        </w:rPr>
      </w:pPr>
    </w:p>
    <w:p w14:paraId="37590FC4" w14:textId="1A7A1EC0" w:rsidR="00FC0C01" w:rsidRPr="00FC0C01" w:rsidRDefault="00BE015B" w:rsidP="00FC0C01">
      <w:pPr>
        <w:autoSpaceDE w:val="0"/>
        <w:autoSpaceDN w:val="0"/>
        <w:adjustRightInd w:val="0"/>
        <w:spacing w:after="0" w:line="240" w:lineRule="auto"/>
        <w:rPr>
          <w:rFonts w:ascii="Arial" w:hAnsi="Arial" w:cs="Arial"/>
        </w:rPr>
      </w:pPr>
      <w:r w:rsidRPr="00BE015B">
        <w:rPr>
          <w:rFonts w:ascii="ArialMT" w:eastAsia="ArialMT"/>
          <w:color w:val="000000"/>
        </w:rPr>
        <w:t>Reserved Matters application for the scale and appearance of the</w:t>
      </w:r>
      <w:r>
        <w:rPr>
          <w:rFonts w:ascii="ArialMT" w:eastAsia="ArialMT"/>
          <w:color w:val="000000"/>
        </w:rPr>
        <w:t xml:space="preserve"> </w:t>
      </w:r>
      <w:r w:rsidRPr="00BE015B">
        <w:rPr>
          <w:rFonts w:ascii="ArialMT" w:eastAsia="ArialMT"/>
          <w:color w:val="000000"/>
        </w:rPr>
        <w:t>development, the landscaping of the site and the layout of buildings pursuant to Planning Permission ref.</w:t>
      </w:r>
      <w:r w:rsidRPr="00BE015B">
        <w:rPr>
          <w:rFonts w:ascii="ArialMT" w:eastAsia="ArialMT" w:hint="eastAsia"/>
          <w:color w:val="000000"/>
        </w:rPr>
        <w:br/>
      </w:r>
      <w:r w:rsidRPr="00BE015B">
        <w:rPr>
          <w:rFonts w:ascii="ArialMT" w:eastAsia="ArialMT"/>
          <w:color w:val="000000"/>
        </w:rPr>
        <w:t>APP/17/00863 (B) (Outline Application (All Matters Reserved except means of access) for the demolition</w:t>
      </w:r>
      <w:r>
        <w:rPr>
          <w:rFonts w:ascii="ArialMT" w:eastAsia="ArialMT"/>
          <w:color w:val="000000"/>
        </w:rPr>
        <w:t xml:space="preserve"> </w:t>
      </w:r>
      <w:r w:rsidRPr="00BE015B">
        <w:rPr>
          <w:rFonts w:ascii="ArialMT" w:eastAsia="ArialMT"/>
          <w:color w:val="000000"/>
        </w:rPr>
        <w:t>of 1983 office building and associated brick and glass corridor link and development of up to 70</w:t>
      </w:r>
      <w:r>
        <w:rPr>
          <w:rFonts w:ascii="ArialMT" w:eastAsia="ArialMT"/>
          <w:color w:val="000000"/>
        </w:rPr>
        <w:t xml:space="preserve"> </w:t>
      </w:r>
      <w:r w:rsidRPr="00BE015B">
        <w:rPr>
          <w:rFonts w:ascii="ArialMT" w:eastAsia="ArialMT"/>
          <w:color w:val="000000"/>
        </w:rPr>
        <w:t>residential units, associated landscaping, parking and infrastructure works). Request to Discharge</w:t>
      </w:r>
      <w:r>
        <w:rPr>
          <w:rFonts w:ascii="ArialMT" w:eastAsia="ArialMT"/>
          <w:color w:val="000000"/>
        </w:rPr>
        <w:t xml:space="preserve"> </w:t>
      </w:r>
      <w:r w:rsidRPr="00BE015B">
        <w:rPr>
          <w:rFonts w:ascii="ArialMT" w:eastAsia="ArialMT"/>
          <w:color w:val="000000"/>
        </w:rPr>
        <w:t>Condition 17 of Planning Permission APP/17/00863 (B) as amended by APP/21/01292 (Design Code)</w:t>
      </w:r>
      <w:r>
        <w:rPr>
          <w:rFonts w:ascii="ArialMT" w:eastAsia="ArialMT"/>
          <w:color w:val="000000"/>
        </w:rPr>
        <w:t xml:space="preserve"> </w:t>
      </w:r>
      <w:r w:rsidRPr="00BE015B">
        <w:rPr>
          <w:rFonts w:ascii="ArialMT" w:eastAsia="ArialMT"/>
          <w:color w:val="000000"/>
        </w:rPr>
        <w:t>and Condition 26 of Permission APP/17/00863 (B) (viability assessment)</w:t>
      </w:r>
    </w:p>
    <w:p w14:paraId="34554D57" w14:textId="6EBEABE4" w:rsidR="00FC0C01" w:rsidRDefault="00FC0C01" w:rsidP="009D7EE0">
      <w:pPr>
        <w:autoSpaceDE w:val="0"/>
        <w:autoSpaceDN w:val="0"/>
        <w:adjustRightInd w:val="0"/>
        <w:spacing w:after="0" w:line="240" w:lineRule="auto"/>
        <w:rPr>
          <w:rFonts w:ascii="Arial" w:hAnsi="Arial" w:cs="Arial"/>
        </w:rPr>
      </w:pPr>
    </w:p>
    <w:p w14:paraId="607C3C56" w14:textId="17A62F5E" w:rsidR="00AC3E43" w:rsidRPr="009D7EE0" w:rsidRDefault="00AC3E43" w:rsidP="00AC3E43">
      <w:pPr>
        <w:rPr>
          <w:rFonts w:ascii="Arial" w:hAnsi="Arial" w:cs="Arial"/>
          <w:b/>
        </w:rPr>
      </w:pPr>
      <w:r w:rsidRPr="009D7EE0">
        <w:rPr>
          <w:rFonts w:ascii="Arial" w:hAnsi="Arial" w:cs="Arial"/>
          <w:b/>
        </w:rPr>
        <w:t>Comments - HBC Community Infrastructure Officer</w:t>
      </w:r>
      <w:r w:rsidR="006347C1" w:rsidRPr="009D7EE0">
        <w:rPr>
          <w:rFonts w:ascii="Arial" w:hAnsi="Arial" w:cs="Arial"/>
          <w:b/>
        </w:rPr>
        <w:t xml:space="preserve"> </w:t>
      </w:r>
    </w:p>
    <w:p w14:paraId="7CC07D79" w14:textId="2377975F" w:rsidR="00DB2559" w:rsidRDefault="00DB2559" w:rsidP="00AC3E43">
      <w:pPr>
        <w:rPr>
          <w:rFonts w:ascii="Arial" w:hAnsi="Arial" w:cs="Arial"/>
          <w:b/>
        </w:rPr>
      </w:pPr>
      <w:r w:rsidRPr="009D7EE0">
        <w:rPr>
          <w:rFonts w:ascii="Arial" w:hAnsi="Arial" w:cs="Arial"/>
          <w:b/>
        </w:rPr>
        <w:t>Community Infrastructure Levy (CIL)</w:t>
      </w:r>
    </w:p>
    <w:p w14:paraId="2FBB6F5A" w14:textId="555B2E3D" w:rsidR="00AC3E43" w:rsidRPr="009D7EE0" w:rsidRDefault="00147401" w:rsidP="00C50EBA">
      <w:pPr>
        <w:rPr>
          <w:rStyle w:val="Hyperlink"/>
          <w:rFonts w:ascii="Arial" w:hAnsi="Arial" w:cs="Arial"/>
          <w:color w:val="auto"/>
        </w:rPr>
      </w:pPr>
      <w:r w:rsidRPr="00147401">
        <w:rPr>
          <w:rFonts w:ascii="Arial" w:hAnsi="Arial" w:cs="Arial"/>
          <w:bCs/>
        </w:rPr>
        <w:t>In respect of a reserved matters t</w:t>
      </w:r>
      <w:r w:rsidR="00591A0E" w:rsidRPr="00147401">
        <w:rPr>
          <w:rFonts w:ascii="Arial" w:hAnsi="Arial" w:cs="Arial"/>
          <w:bCs/>
        </w:rPr>
        <w:t>he</w:t>
      </w:r>
      <w:r w:rsidR="00BE015B">
        <w:rPr>
          <w:rFonts w:ascii="Arial" w:hAnsi="Arial" w:cs="Arial"/>
          <w:bCs/>
        </w:rPr>
        <w:t xml:space="preserve"> 70</w:t>
      </w:r>
      <w:r w:rsidR="00591A0E" w:rsidRPr="009D7EE0">
        <w:rPr>
          <w:rFonts w:ascii="Arial" w:hAnsi="Arial" w:cs="Arial"/>
        </w:rPr>
        <w:t xml:space="preserve"> </w:t>
      </w:r>
      <w:r w:rsidR="00171115" w:rsidRPr="009D7EE0">
        <w:rPr>
          <w:rFonts w:ascii="Arial" w:hAnsi="Arial" w:cs="Arial"/>
        </w:rPr>
        <w:t>dwellings</w:t>
      </w:r>
      <w:r w:rsidR="00591A0E" w:rsidRPr="009D7EE0">
        <w:rPr>
          <w:rFonts w:ascii="Arial" w:hAnsi="Arial" w:cs="Arial"/>
        </w:rPr>
        <w:t xml:space="preserve"> </w:t>
      </w:r>
      <w:r w:rsidR="00B10887" w:rsidRPr="009D7EE0">
        <w:rPr>
          <w:rFonts w:ascii="Arial" w:hAnsi="Arial" w:cs="Arial"/>
        </w:rPr>
        <w:t>would be</w:t>
      </w:r>
      <w:r w:rsidR="00591A0E" w:rsidRPr="009D7EE0">
        <w:rPr>
          <w:rFonts w:ascii="Arial" w:hAnsi="Arial" w:cs="Arial"/>
          <w:b/>
        </w:rPr>
        <w:t xml:space="preserve"> </w:t>
      </w:r>
      <w:r w:rsidR="00C50EBA" w:rsidRPr="009D7EE0">
        <w:rPr>
          <w:rFonts w:ascii="Arial" w:hAnsi="Arial" w:cs="Arial"/>
        </w:rPr>
        <w:t>CIL Liable, in accordance with our CIL C</w:t>
      </w:r>
      <w:r w:rsidR="00AC3E43" w:rsidRPr="009D7EE0">
        <w:rPr>
          <w:rFonts w:ascii="Arial" w:hAnsi="Arial" w:cs="Arial"/>
        </w:rPr>
        <w:t xml:space="preserve">harging Schedule: </w:t>
      </w:r>
      <w:hyperlink r:id="rId8" w:history="1">
        <w:r w:rsidR="00AC3E43" w:rsidRPr="009D7EE0">
          <w:rPr>
            <w:rStyle w:val="Hyperlink"/>
            <w:rFonts w:ascii="Arial" w:hAnsi="Arial" w:cs="Arial"/>
            <w:color w:val="auto"/>
          </w:rPr>
          <w:t>http://www.havant.gov.uk/sites/default/files/documents/HBC%20CIL%20Charging%20Schedule%20Full%20Document%20Feb%202013.pdf</w:t>
        </w:r>
      </w:hyperlink>
    </w:p>
    <w:p w14:paraId="0000E864" w14:textId="5FD7B850" w:rsidR="006A7A40" w:rsidRPr="009D7EE0" w:rsidRDefault="006A7A40" w:rsidP="006A7A40">
      <w:pPr>
        <w:spacing w:line="240" w:lineRule="auto"/>
        <w:rPr>
          <w:rFonts w:ascii="Arial" w:hAnsi="Arial" w:cs="Arial"/>
        </w:rPr>
      </w:pPr>
      <w:r w:rsidRPr="009D7EE0">
        <w:rPr>
          <w:rFonts w:ascii="Arial" w:hAnsi="Arial" w:cs="Arial"/>
        </w:rPr>
        <w:t>The amounts in the Charging Schedule are indexed according to the year in which permission is issued</w:t>
      </w:r>
      <w:r w:rsidR="00BE015B">
        <w:rPr>
          <w:rFonts w:ascii="Arial" w:hAnsi="Arial" w:cs="Arial"/>
        </w:rPr>
        <w:t>.</w:t>
      </w:r>
    </w:p>
    <w:p w14:paraId="537E7FF4" w14:textId="0361DC54" w:rsidR="00035887" w:rsidRPr="009D7EE0" w:rsidRDefault="00BE015B" w:rsidP="006A7A40">
      <w:pPr>
        <w:spacing w:line="240" w:lineRule="auto"/>
        <w:rPr>
          <w:rStyle w:val="Hyperlink"/>
          <w:rFonts w:ascii="Arial" w:hAnsi="Arial" w:cs="Arial"/>
          <w:color w:val="auto"/>
          <w:u w:val="none"/>
        </w:rPr>
      </w:pPr>
      <w:r>
        <w:rPr>
          <w:rStyle w:val="Hyperlink"/>
          <w:rFonts w:ascii="Arial" w:hAnsi="Arial" w:cs="Arial"/>
          <w:color w:val="auto"/>
          <w:u w:val="none"/>
        </w:rPr>
        <w:t xml:space="preserve">The figures supplied in CIL form 2 do not accord with schedule of accommodation supplied and we </w:t>
      </w:r>
      <w:r w:rsidR="008B0543">
        <w:rPr>
          <w:rStyle w:val="Hyperlink"/>
          <w:rFonts w:ascii="Arial" w:hAnsi="Arial" w:cs="Arial"/>
          <w:color w:val="auto"/>
          <w:u w:val="none"/>
        </w:rPr>
        <w:t xml:space="preserve">are following up on this separately </w:t>
      </w:r>
      <w:r>
        <w:rPr>
          <w:rStyle w:val="Hyperlink"/>
          <w:rFonts w:ascii="Arial" w:hAnsi="Arial" w:cs="Arial"/>
          <w:color w:val="auto"/>
          <w:u w:val="none"/>
        </w:rPr>
        <w:t xml:space="preserve">with </w:t>
      </w:r>
      <w:r w:rsidR="008B0543">
        <w:rPr>
          <w:rStyle w:val="Hyperlink"/>
          <w:rFonts w:ascii="Arial" w:hAnsi="Arial" w:cs="Arial"/>
          <w:color w:val="auto"/>
          <w:u w:val="none"/>
        </w:rPr>
        <w:t xml:space="preserve">the </w:t>
      </w:r>
      <w:r>
        <w:rPr>
          <w:rStyle w:val="Hyperlink"/>
          <w:rFonts w:ascii="Arial" w:hAnsi="Arial" w:cs="Arial"/>
          <w:color w:val="auto"/>
          <w:u w:val="none"/>
        </w:rPr>
        <w:t>agent.</w:t>
      </w:r>
    </w:p>
    <w:p w14:paraId="4B883530" w14:textId="77777777" w:rsidR="003C24D2" w:rsidRPr="009D7EE0" w:rsidRDefault="003C24D2" w:rsidP="003C24D2">
      <w:pPr>
        <w:spacing w:line="240" w:lineRule="auto"/>
        <w:rPr>
          <w:rStyle w:val="Hyperlink"/>
          <w:rFonts w:ascii="Arial" w:hAnsi="Arial" w:cs="Arial"/>
          <w:color w:val="auto"/>
          <w:u w:val="none"/>
        </w:rPr>
      </w:pPr>
      <w:r w:rsidRPr="009D7EE0">
        <w:rPr>
          <w:rStyle w:val="Hyperlink"/>
          <w:rFonts w:ascii="Arial" w:hAnsi="Arial" w:cs="Arial"/>
          <w:color w:val="auto"/>
          <w:u w:val="none"/>
        </w:rPr>
        <w:t>If the development is to be phased then this must be decided before decision is made, more information is available in Appendix A at the end of this response.</w:t>
      </w:r>
    </w:p>
    <w:p w14:paraId="0D27D1C1" w14:textId="01E6101D" w:rsidR="00C45A1A" w:rsidRPr="00B87DE9" w:rsidRDefault="00C45A1A" w:rsidP="00C45A1A">
      <w:pPr>
        <w:rPr>
          <w:rStyle w:val="Hyperlink"/>
          <w:rFonts w:ascii="Arial" w:hAnsi="Arial" w:cs="Arial"/>
          <w:b/>
          <w:color w:val="auto"/>
          <w:u w:val="none"/>
        </w:rPr>
      </w:pPr>
      <w:r w:rsidRPr="00B87DE9">
        <w:rPr>
          <w:rStyle w:val="Hyperlink"/>
          <w:rFonts w:ascii="Arial" w:hAnsi="Arial" w:cs="Arial"/>
          <w:b/>
          <w:color w:val="auto"/>
          <w:u w:val="none"/>
        </w:rPr>
        <w:t>S106</w:t>
      </w:r>
    </w:p>
    <w:p w14:paraId="7204D364" w14:textId="5F72E00F" w:rsidR="00E73063" w:rsidRDefault="00E73063" w:rsidP="00C45A1A">
      <w:pPr>
        <w:rPr>
          <w:rStyle w:val="Hyperlink"/>
          <w:rFonts w:ascii="Arial" w:hAnsi="Arial" w:cs="Arial"/>
          <w:bCs/>
          <w:color w:val="auto"/>
          <w:u w:val="none"/>
        </w:rPr>
      </w:pPr>
      <w:r w:rsidRPr="00E73063">
        <w:rPr>
          <w:rStyle w:val="Hyperlink"/>
          <w:rFonts w:ascii="Arial" w:hAnsi="Arial" w:cs="Arial"/>
          <w:bCs/>
          <w:color w:val="auto"/>
          <w:u w:val="none"/>
        </w:rPr>
        <w:t xml:space="preserve">For the </w:t>
      </w:r>
      <w:r w:rsidR="00BA2768">
        <w:rPr>
          <w:rStyle w:val="Hyperlink"/>
          <w:rFonts w:ascii="Arial" w:hAnsi="Arial" w:cs="Arial"/>
          <w:bCs/>
          <w:color w:val="auto"/>
          <w:u w:val="none"/>
        </w:rPr>
        <w:t xml:space="preserve">current </w:t>
      </w:r>
      <w:r w:rsidRPr="00E73063">
        <w:rPr>
          <w:rStyle w:val="Hyperlink"/>
          <w:rFonts w:ascii="Arial" w:hAnsi="Arial" w:cs="Arial"/>
          <w:bCs/>
          <w:color w:val="auto"/>
          <w:u w:val="none"/>
        </w:rPr>
        <w:t>permission there is an existing S106 dated</w:t>
      </w:r>
      <w:r w:rsidR="00A31B8E">
        <w:rPr>
          <w:rStyle w:val="Hyperlink"/>
          <w:rFonts w:ascii="Arial" w:hAnsi="Arial" w:cs="Arial"/>
          <w:bCs/>
          <w:color w:val="auto"/>
          <w:u w:val="none"/>
        </w:rPr>
        <w:t xml:space="preserve"> 30 January 2019. If any subsequent permission affects this S106 a Deed of Variation would be required</w:t>
      </w:r>
      <w:r w:rsidR="00CB62C2">
        <w:rPr>
          <w:rStyle w:val="Hyperlink"/>
          <w:rFonts w:ascii="Arial" w:hAnsi="Arial" w:cs="Arial"/>
          <w:bCs/>
          <w:color w:val="auto"/>
          <w:u w:val="none"/>
        </w:rPr>
        <w:t>.</w:t>
      </w:r>
    </w:p>
    <w:p w14:paraId="1CCB8BE8" w14:textId="5614DD00" w:rsidR="00B87DE9" w:rsidRPr="00B87DE9" w:rsidRDefault="00B87DE9" w:rsidP="002A611A">
      <w:pPr>
        <w:autoSpaceDE w:val="0"/>
        <w:autoSpaceDN w:val="0"/>
        <w:adjustRightInd w:val="0"/>
        <w:spacing w:after="0" w:line="240" w:lineRule="auto"/>
        <w:rPr>
          <w:rFonts w:ascii="Arial" w:hAnsi="Arial" w:cs="Arial"/>
        </w:rPr>
      </w:pPr>
      <w:r w:rsidRPr="00B87DE9">
        <w:rPr>
          <w:rFonts w:ascii="Arial" w:hAnsi="Arial" w:cs="Arial"/>
        </w:rPr>
        <w:t>If any additional monitoring fees were required as a result of a Deed of Variation our current scale of charges is outlined below:</w:t>
      </w:r>
    </w:p>
    <w:p w14:paraId="20EB1AD6" w14:textId="77777777" w:rsidR="00B87DE9" w:rsidRPr="00B87DE9" w:rsidRDefault="00B87DE9" w:rsidP="002A611A">
      <w:pPr>
        <w:autoSpaceDE w:val="0"/>
        <w:autoSpaceDN w:val="0"/>
        <w:adjustRightInd w:val="0"/>
        <w:spacing w:after="0" w:line="240" w:lineRule="auto"/>
        <w:rPr>
          <w:rFonts w:ascii="Arial" w:hAnsi="Arial" w:cs="Arial"/>
        </w:rPr>
      </w:pPr>
    </w:p>
    <w:p w14:paraId="1C890A86" w14:textId="1A03B80D" w:rsidR="00204AD4" w:rsidRPr="00B87DE9" w:rsidRDefault="00204AD4" w:rsidP="00204AD4">
      <w:pPr>
        <w:autoSpaceDE w:val="0"/>
        <w:autoSpaceDN w:val="0"/>
        <w:adjustRightInd w:val="0"/>
        <w:spacing w:after="0" w:line="240" w:lineRule="auto"/>
        <w:rPr>
          <w:rFonts w:ascii="Arial" w:hAnsi="Arial" w:cs="Arial"/>
        </w:rPr>
      </w:pPr>
      <w:bookmarkStart w:id="0" w:name="_Hlk96933520"/>
      <w:r w:rsidRPr="00B87DE9">
        <w:rPr>
          <w:rFonts w:ascii="Arial" w:hAnsi="Arial" w:cs="Arial"/>
          <w:b/>
        </w:rPr>
        <w:t xml:space="preserve">*Monitoring Fees:  </w:t>
      </w:r>
      <w:r w:rsidRPr="00B87DE9">
        <w:rPr>
          <w:rFonts w:ascii="Arial" w:hAnsi="Arial" w:cs="Arial"/>
        </w:rPr>
        <w:t>As part of the ‘Heads of Terms’ it would be necessary to include monitoring fees.</w:t>
      </w:r>
      <w:r w:rsidRPr="00B87DE9">
        <w:rPr>
          <w:rFonts w:ascii="Arial" w:hAnsi="Arial" w:cs="Arial"/>
          <w:b/>
        </w:rPr>
        <w:t xml:space="preserve"> </w:t>
      </w:r>
      <w:r w:rsidRPr="00B87DE9">
        <w:rPr>
          <w:rFonts w:ascii="Arial" w:hAnsi="Arial" w:cs="Arial"/>
        </w:rPr>
        <w:t>The amended CIL Regulations effective 1/9/19 regularise the collection of S106 monitoring fees. We already have an agreed schedule of charges and these are set out below (</w:t>
      </w:r>
      <w:r w:rsidR="00BE015B">
        <w:rPr>
          <w:rFonts w:ascii="Arial" w:hAnsi="Arial" w:cs="Arial"/>
        </w:rPr>
        <w:t xml:space="preserve">updated for decisions after </w:t>
      </w:r>
      <w:r w:rsidRPr="00B87DE9">
        <w:rPr>
          <w:rFonts w:ascii="Arial" w:hAnsi="Arial" w:cs="Arial"/>
        </w:rPr>
        <w:t>1/4/2</w:t>
      </w:r>
      <w:r w:rsidR="00BE015B">
        <w:rPr>
          <w:rFonts w:ascii="Arial" w:hAnsi="Arial" w:cs="Arial"/>
        </w:rPr>
        <w:t>2</w:t>
      </w:r>
      <w:r w:rsidRPr="00B87DE9">
        <w:rPr>
          <w:rFonts w:ascii="Arial" w:hAnsi="Arial" w:cs="Arial"/>
        </w:rPr>
        <w:t>):</w:t>
      </w:r>
    </w:p>
    <w:p w14:paraId="2342C47B" w14:textId="77777777" w:rsidR="000D3A76" w:rsidRDefault="000D3A76" w:rsidP="000D3A76">
      <w:pPr>
        <w:shd w:val="clear" w:color="auto" w:fill="FFFFFF"/>
        <w:spacing w:after="0" w:line="240" w:lineRule="auto"/>
        <w:rPr>
          <w:rFonts w:ascii="Arial" w:eastAsia="Times New Roman" w:hAnsi="Arial" w:cs="Arial"/>
          <w:color w:val="000000"/>
          <w:lang w:eastAsia="en-GB"/>
        </w:rPr>
      </w:pPr>
    </w:p>
    <w:p w14:paraId="61A9C6B5" w14:textId="1B0B8039" w:rsidR="000D3A76" w:rsidRPr="000D3A76" w:rsidRDefault="000D3A76" w:rsidP="000D3A76">
      <w:pPr>
        <w:shd w:val="clear" w:color="auto" w:fill="FFFFFF"/>
        <w:spacing w:after="0" w:line="240" w:lineRule="auto"/>
        <w:rPr>
          <w:rFonts w:ascii="Arial" w:eastAsia="Times New Roman" w:hAnsi="Arial" w:cs="Arial"/>
          <w:color w:val="000000"/>
          <w:lang w:eastAsia="en-GB"/>
        </w:rPr>
      </w:pPr>
      <w:r w:rsidRPr="000D3A76">
        <w:rPr>
          <w:rFonts w:ascii="Arial" w:eastAsia="Times New Roman" w:hAnsi="Arial" w:cs="Arial"/>
          <w:color w:val="000000"/>
          <w:lang w:eastAsia="en-GB"/>
        </w:rPr>
        <w:t>Fees are charged at a cost per head of term contained within the obligation and is in addition to the legal charge for drafting and checking the obligation.</w:t>
      </w:r>
    </w:p>
    <w:p w14:paraId="4938F4EE" w14:textId="4B219709" w:rsidR="000D3A76" w:rsidRPr="000D3A76" w:rsidRDefault="000D3A76" w:rsidP="000D3A76">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GB"/>
        </w:rPr>
      </w:pPr>
      <w:r w:rsidRPr="000D3A76">
        <w:rPr>
          <w:rFonts w:ascii="Arial" w:eastAsia="Times New Roman" w:hAnsi="Arial" w:cs="Arial"/>
          <w:color w:val="000000"/>
          <w:lang w:eastAsia="en-GB"/>
        </w:rPr>
        <w:t>£798.00 per non-financial head of term (outside the scope of VAT)</w:t>
      </w:r>
    </w:p>
    <w:p w14:paraId="29192CDF" w14:textId="77777777" w:rsidR="000D3A76" w:rsidRPr="000D3A76" w:rsidRDefault="000D3A76" w:rsidP="000D3A76">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GB"/>
        </w:rPr>
      </w:pPr>
      <w:r w:rsidRPr="000D3A76">
        <w:rPr>
          <w:rFonts w:ascii="Arial" w:eastAsia="Times New Roman" w:hAnsi="Arial" w:cs="Arial"/>
          <w:color w:val="000000"/>
          <w:lang w:eastAsia="en-GB"/>
        </w:rPr>
        <w:t>5% of cost per financial head of term (outside the scope of VAT)</w:t>
      </w:r>
    </w:p>
    <w:bookmarkEnd w:id="0"/>
    <w:p w14:paraId="085B9608" w14:textId="77777777" w:rsidR="00B87DE9" w:rsidRPr="00B87DE9" w:rsidRDefault="00B87DE9" w:rsidP="00B87DE9">
      <w:pPr>
        <w:rPr>
          <w:rStyle w:val="Hyperlink"/>
          <w:rFonts w:ascii="Arial" w:hAnsi="Arial" w:cs="Arial"/>
          <w:b/>
          <w:color w:val="auto"/>
        </w:rPr>
      </w:pPr>
      <w:r w:rsidRPr="00B87DE9">
        <w:rPr>
          <w:rStyle w:val="Hyperlink"/>
          <w:rFonts w:ascii="Arial" w:hAnsi="Arial" w:cs="Arial"/>
          <w:b/>
          <w:color w:val="auto"/>
        </w:rPr>
        <w:t>SEE THE HBC DEVELOPER CONTRIBUTIONS GUIDE FOR ADDITIONAL INFORMATION:</w:t>
      </w:r>
    </w:p>
    <w:p w14:paraId="3C97650F" w14:textId="77777777" w:rsidR="00B87DE9" w:rsidRPr="00B87DE9" w:rsidRDefault="00B87DE9" w:rsidP="00B87DE9">
      <w:pPr>
        <w:autoSpaceDE w:val="0"/>
        <w:autoSpaceDN w:val="0"/>
        <w:adjustRightInd w:val="0"/>
        <w:spacing w:after="0" w:line="240" w:lineRule="auto"/>
        <w:rPr>
          <w:rFonts w:ascii="Arial" w:hAnsi="Arial" w:cs="Arial"/>
        </w:rPr>
      </w:pPr>
      <w:r w:rsidRPr="00B87DE9">
        <w:rPr>
          <w:rFonts w:ascii="Arial" w:hAnsi="Arial" w:cs="Arial"/>
        </w:rPr>
        <w:t xml:space="preserve">Latest version accessible from: </w:t>
      </w:r>
      <w:hyperlink r:id="rId9" w:history="1">
        <w:r w:rsidRPr="00B87DE9">
          <w:rPr>
            <w:rStyle w:val="Hyperlink"/>
            <w:rFonts w:ascii="Arial" w:hAnsi="Arial" w:cs="Arial"/>
            <w:color w:val="auto"/>
          </w:rPr>
          <w:t>https://www.havant.gov.uk/community-infrastructure-levy</w:t>
        </w:r>
      </w:hyperlink>
    </w:p>
    <w:p w14:paraId="5D6670D5" w14:textId="77777777" w:rsidR="00B87DE9" w:rsidRDefault="00B87DE9">
      <w:pPr>
        <w:spacing w:after="160" w:line="259" w:lineRule="auto"/>
        <w:rPr>
          <w:rFonts w:ascii="Arial" w:hAnsi="Arial" w:cs="Arial"/>
          <w:b/>
          <w:lang w:val="en"/>
        </w:rPr>
      </w:pPr>
      <w:r>
        <w:rPr>
          <w:rFonts w:ascii="Arial" w:hAnsi="Arial" w:cs="Arial"/>
          <w:b/>
          <w:lang w:val="en"/>
        </w:rPr>
        <w:br w:type="page"/>
      </w:r>
    </w:p>
    <w:p w14:paraId="686553D0" w14:textId="170CB41D" w:rsidR="005C1E5D" w:rsidRPr="009D7EE0" w:rsidRDefault="005C1E5D" w:rsidP="005C1E5D">
      <w:pPr>
        <w:rPr>
          <w:rFonts w:ascii="Arial" w:hAnsi="Arial" w:cs="Arial"/>
          <w:b/>
          <w:lang w:val="en"/>
        </w:rPr>
      </w:pPr>
      <w:r w:rsidRPr="009D7EE0">
        <w:rPr>
          <w:rFonts w:ascii="Arial" w:hAnsi="Arial" w:cs="Arial"/>
          <w:b/>
          <w:lang w:val="en"/>
        </w:rPr>
        <w:lastRenderedPageBreak/>
        <w:t xml:space="preserve">Appendix A: Extracts from Planning Practice Guidance – CIL </w:t>
      </w:r>
    </w:p>
    <w:p w14:paraId="124D3ED6" w14:textId="77777777" w:rsidR="005C1E5D" w:rsidRPr="009D7EE0" w:rsidRDefault="00ED4EA2" w:rsidP="005C1E5D">
      <w:pPr>
        <w:rPr>
          <w:rStyle w:val="Hyperlink"/>
          <w:rFonts w:ascii="Arial" w:hAnsi="Arial" w:cs="Arial"/>
          <w:b/>
          <w:color w:val="auto"/>
          <w:lang w:val="en"/>
        </w:rPr>
      </w:pPr>
      <w:hyperlink r:id="rId10" w:history="1">
        <w:r w:rsidR="005C1E5D" w:rsidRPr="009D7EE0">
          <w:rPr>
            <w:rStyle w:val="Hyperlink"/>
            <w:rFonts w:ascii="Arial" w:hAnsi="Arial" w:cs="Arial"/>
            <w:color w:val="auto"/>
            <w:lang w:val="en"/>
          </w:rPr>
          <w:t>https://www.gov.uk/guidance/community-infrastructure-levy</w:t>
        </w:r>
      </w:hyperlink>
    </w:p>
    <w:p w14:paraId="38705D47"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Where a planning permission is phased, each phase of the development is treated as if it were a separate chargeable development for levy purposes (see </w:t>
      </w:r>
      <w:hyperlink r:id="rId11" w:history="1">
        <w:r w:rsidRPr="009D7EE0">
          <w:rPr>
            <w:rFonts w:ascii="Times New Roman" w:eastAsia="Times New Roman" w:hAnsi="Times New Roman" w:cs="Times New Roman"/>
            <w:sz w:val="24"/>
            <w:szCs w:val="24"/>
            <w:u w:val="single"/>
            <w:lang w:val="en" w:eastAsia="en-GB"/>
          </w:rPr>
          <w:t>regulation 8(3A) as amended by 2014 Regulations</w:t>
        </w:r>
      </w:hyperlink>
      <w:r w:rsidRPr="009D7EE0">
        <w:rPr>
          <w:rFonts w:ascii="Times New Roman" w:eastAsia="Times New Roman" w:hAnsi="Times New Roman" w:cs="Times New Roman"/>
          <w:sz w:val="24"/>
          <w:szCs w:val="24"/>
          <w:lang w:val="en" w:eastAsia="en-GB"/>
        </w:rPr>
        <w:t xml:space="preserve">). This may apply to schemes which have full planning permission as well as to outline permissions. For further information on outline permissions, see </w:t>
      </w:r>
      <w:hyperlink r:id="rId12" w:anchor="para044" w:history="1">
        <w:r w:rsidRPr="009D7EE0">
          <w:rPr>
            <w:rFonts w:ascii="Times New Roman" w:eastAsia="Times New Roman" w:hAnsi="Times New Roman" w:cs="Times New Roman"/>
            <w:sz w:val="24"/>
            <w:szCs w:val="24"/>
            <w:u w:val="single"/>
            <w:lang w:val="en" w:eastAsia="en-GB"/>
          </w:rPr>
          <w:t>‘When does a charging schedule come into effect?’</w:t>
        </w:r>
      </w:hyperlink>
      <w:r w:rsidRPr="009D7EE0">
        <w:rPr>
          <w:rFonts w:ascii="Times New Roman" w:eastAsia="Times New Roman" w:hAnsi="Times New Roman" w:cs="Times New Roman"/>
          <w:sz w:val="24"/>
          <w:szCs w:val="24"/>
          <w:lang w:val="en" w:eastAsia="en-GB"/>
        </w:rPr>
        <w:t xml:space="preserve"> and for phased development see </w:t>
      </w:r>
      <w:hyperlink r:id="rId13" w:anchor="para129" w:history="1">
        <w:r w:rsidRPr="009D7EE0">
          <w:rPr>
            <w:rFonts w:ascii="Times New Roman" w:eastAsia="Times New Roman" w:hAnsi="Times New Roman" w:cs="Times New Roman"/>
            <w:sz w:val="24"/>
            <w:szCs w:val="24"/>
            <w:u w:val="single"/>
            <w:lang w:val="en" w:eastAsia="en-GB"/>
          </w:rPr>
          <w:t>‘Is there another way to allow phased payments?’</w:t>
        </w:r>
      </w:hyperlink>
      <w:r w:rsidRPr="009D7EE0">
        <w:rPr>
          <w:rFonts w:ascii="Times New Roman" w:eastAsia="Times New Roman" w:hAnsi="Times New Roman" w:cs="Times New Roman"/>
          <w:sz w:val="24"/>
          <w:szCs w:val="24"/>
          <w:lang w:val="en" w:eastAsia="en-GB"/>
        </w:rPr>
        <w:t>.</w:t>
      </w:r>
    </w:p>
    <w:p w14:paraId="49B735D9"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Paragraph: 008 Reference ID: 25-008-20190901</w:t>
      </w:r>
    </w:p>
    <w:p w14:paraId="1499A37F" w14:textId="77777777" w:rsidR="005C1E5D" w:rsidRPr="009D7EE0" w:rsidRDefault="005C1E5D" w:rsidP="005C1E5D">
      <w:pPr>
        <w:spacing w:before="100" w:beforeAutospacing="1" w:after="100" w:afterAutospacing="1" w:line="240" w:lineRule="auto"/>
        <w:rPr>
          <w:rFonts w:ascii="Arial" w:hAnsi="Arial" w:cs="Arial"/>
          <w:b/>
          <w:lang w:val="en"/>
        </w:rPr>
      </w:pPr>
      <w:r w:rsidRPr="009D7EE0">
        <w:rPr>
          <w:rFonts w:ascii="Times New Roman" w:eastAsia="Times New Roman" w:hAnsi="Times New Roman" w:cs="Times New Roman"/>
          <w:sz w:val="24"/>
          <w:szCs w:val="24"/>
          <w:lang w:val="en" w:eastAsia="en-GB"/>
        </w:rPr>
        <w:t>Revision date: 01 09 2019</w:t>
      </w:r>
    </w:p>
    <w:p w14:paraId="6521F48F" w14:textId="77777777" w:rsidR="005C1E5D" w:rsidRPr="009D7EE0" w:rsidRDefault="005C1E5D" w:rsidP="005C1E5D">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9D7EE0">
        <w:rPr>
          <w:rFonts w:ascii="Times New Roman" w:eastAsia="Times New Roman" w:hAnsi="Times New Roman" w:cs="Times New Roman"/>
          <w:b/>
          <w:bCs/>
          <w:sz w:val="27"/>
          <w:szCs w:val="27"/>
          <w:lang w:val="en" w:eastAsia="en-GB"/>
        </w:rPr>
        <w:t>Is there another way to allow phased payments?</w:t>
      </w:r>
    </w:p>
    <w:p w14:paraId="62AFFF58"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Where the planning authority is willing to accept it, a planning permission for a development can be subdivided into ‘phases’ for the purposes of the levy (see </w:t>
      </w:r>
      <w:hyperlink r:id="rId14" w:anchor="para008" w:history="1">
        <w:r w:rsidRPr="009D7EE0">
          <w:rPr>
            <w:rFonts w:ascii="Times New Roman" w:eastAsia="Times New Roman" w:hAnsi="Times New Roman" w:cs="Times New Roman"/>
            <w:sz w:val="24"/>
            <w:szCs w:val="24"/>
            <w:u w:val="single"/>
            <w:lang w:val="en" w:eastAsia="en-GB"/>
          </w:rPr>
          <w:t>‘How does the levy relate to planning permission?’</w:t>
        </w:r>
      </w:hyperlink>
      <w:r w:rsidRPr="009D7EE0">
        <w:rPr>
          <w:rFonts w:ascii="Times New Roman" w:eastAsia="Times New Roman" w:hAnsi="Times New Roman" w:cs="Times New Roman"/>
          <w:sz w:val="24"/>
          <w:szCs w:val="24"/>
          <w:lang w:val="en" w:eastAsia="en-GB"/>
        </w:rPr>
        <w:t>). This is expected to be especially useful for large scale development, which is an essential element of increasing housing supply.</w:t>
      </w:r>
    </w:p>
    <w:p w14:paraId="14E3B44E"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Large scale developments which are delivered over a number of years face particular issues in relation to cashflow and the delivery of on-site infrastructure. The regulations allow for both detailed and outline permissions (and therefore ‘hybrid’ permissions as well) to be treated as phased developments for the purposes of the levy. </w:t>
      </w:r>
      <w:hyperlink r:id="rId15" w:history="1">
        <w:r w:rsidRPr="009D7EE0">
          <w:rPr>
            <w:rFonts w:ascii="Times New Roman" w:eastAsia="Times New Roman" w:hAnsi="Times New Roman" w:cs="Times New Roman"/>
            <w:sz w:val="24"/>
            <w:szCs w:val="24"/>
            <w:u w:val="single"/>
            <w:lang w:val="en" w:eastAsia="en-GB"/>
          </w:rPr>
          <w:t>Regulation 9(4)</w:t>
        </w:r>
      </w:hyperlink>
      <w:r w:rsidRPr="009D7EE0">
        <w:rPr>
          <w:rFonts w:ascii="Times New Roman" w:eastAsia="Times New Roman" w:hAnsi="Times New Roman" w:cs="Times New Roman"/>
          <w:sz w:val="24"/>
          <w:szCs w:val="24"/>
          <w:lang w:val="en" w:eastAsia="en-GB"/>
        </w:rPr>
        <w:t xml:space="preserve"> provides that each phase of a phased planning permission is a separate chargeable development for CIL purposes and therefore would be liable for separate payments for each phase, and each phased may benefit from any instalment policy that may be in force.</w:t>
      </w:r>
    </w:p>
    <w:p w14:paraId="7E88C5EF"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The principle of phased delivery must be expressly set out in the planning permission. Local authorities should work positively with developers to allow such developments to be delivered in phases.</w:t>
      </w:r>
    </w:p>
    <w:p w14:paraId="601E6B77" w14:textId="77777777" w:rsidR="005C1E5D" w:rsidRPr="009D7EE0" w:rsidRDefault="00ED4EA2" w:rsidP="005C1E5D">
      <w:pPr>
        <w:spacing w:before="100" w:beforeAutospacing="1" w:after="100" w:afterAutospacing="1" w:line="240" w:lineRule="auto"/>
        <w:rPr>
          <w:rFonts w:ascii="Times New Roman" w:eastAsia="Times New Roman" w:hAnsi="Times New Roman" w:cs="Times New Roman"/>
          <w:sz w:val="24"/>
          <w:szCs w:val="24"/>
          <w:lang w:val="en" w:eastAsia="en-GB"/>
        </w:rPr>
      </w:pPr>
      <w:hyperlink r:id="rId16" w:anchor="para137" w:history="1">
        <w:r w:rsidR="005C1E5D" w:rsidRPr="009D7EE0">
          <w:rPr>
            <w:rFonts w:ascii="Times New Roman" w:eastAsia="Times New Roman" w:hAnsi="Times New Roman" w:cs="Times New Roman"/>
            <w:sz w:val="24"/>
            <w:szCs w:val="24"/>
            <w:u w:val="single"/>
            <w:lang w:val="en" w:eastAsia="en-GB"/>
          </w:rPr>
          <w:t>Phased developments may also benefit from abatement.</w:t>
        </w:r>
      </w:hyperlink>
    </w:p>
    <w:p w14:paraId="0A0DA800"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Paragraph: 129 Reference ID: 25-129-20190901</w:t>
      </w:r>
    </w:p>
    <w:p w14:paraId="48F2AD77"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Revision date: 01 09 2019</w:t>
      </w:r>
    </w:p>
    <w:p w14:paraId="20F5812E" w14:textId="77777777" w:rsidR="005C1E5D" w:rsidRPr="009D7EE0" w:rsidRDefault="005C1E5D" w:rsidP="005C1E5D">
      <w:pPr>
        <w:rPr>
          <w:rFonts w:ascii="Arial" w:hAnsi="Arial" w:cs="Arial"/>
        </w:rPr>
      </w:pPr>
    </w:p>
    <w:p w14:paraId="4A3BE125" w14:textId="77777777" w:rsidR="00970E17" w:rsidRPr="009D7EE0" w:rsidRDefault="00970E17" w:rsidP="00C45A1A">
      <w:pPr>
        <w:autoSpaceDE w:val="0"/>
        <w:autoSpaceDN w:val="0"/>
        <w:adjustRightInd w:val="0"/>
        <w:spacing w:after="0" w:line="240" w:lineRule="auto"/>
        <w:rPr>
          <w:rFonts w:ascii="Arial" w:hAnsi="Arial" w:cs="Arial"/>
        </w:rPr>
      </w:pPr>
    </w:p>
    <w:sectPr w:rsidR="00970E17" w:rsidRPr="009D7EE0">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07CEC" w14:textId="77777777" w:rsidR="001E7316" w:rsidRDefault="001E7316" w:rsidP="001E7316">
      <w:pPr>
        <w:spacing w:after="0" w:line="240" w:lineRule="auto"/>
      </w:pPr>
      <w:r>
        <w:separator/>
      </w:r>
    </w:p>
  </w:endnote>
  <w:endnote w:type="continuationSeparator" w:id="0">
    <w:p w14:paraId="24F5DBC7" w14:textId="77777777" w:rsidR="001E7316" w:rsidRDefault="001E7316" w:rsidP="001E7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765220"/>
      <w:docPartObj>
        <w:docPartGallery w:val="Page Numbers (Bottom of Page)"/>
        <w:docPartUnique/>
      </w:docPartObj>
    </w:sdtPr>
    <w:sdtEndPr>
      <w:rPr>
        <w:noProof/>
      </w:rPr>
    </w:sdtEndPr>
    <w:sdtContent>
      <w:p w14:paraId="1D25A02E" w14:textId="1264AC09" w:rsidR="001E7316" w:rsidRDefault="001E7316">
        <w:pPr>
          <w:pStyle w:val="Footer"/>
          <w:jc w:val="center"/>
        </w:pPr>
        <w:r>
          <w:fldChar w:fldCharType="begin"/>
        </w:r>
        <w:r>
          <w:instrText xml:space="preserve"> PAGE   \* MERGEFORMAT </w:instrText>
        </w:r>
        <w:r>
          <w:fldChar w:fldCharType="separate"/>
        </w:r>
        <w:r w:rsidR="00204AD4">
          <w:rPr>
            <w:noProof/>
          </w:rPr>
          <w:t>3</w:t>
        </w:r>
        <w:r>
          <w:rPr>
            <w:noProof/>
          </w:rPr>
          <w:fldChar w:fldCharType="end"/>
        </w:r>
      </w:p>
    </w:sdtContent>
  </w:sdt>
  <w:p w14:paraId="62821B57" w14:textId="77777777" w:rsidR="001E7316" w:rsidRDefault="001E7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F4CF1" w14:textId="77777777" w:rsidR="001E7316" w:rsidRDefault="001E7316" w:rsidP="001E7316">
      <w:pPr>
        <w:spacing w:after="0" w:line="240" w:lineRule="auto"/>
      </w:pPr>
      <w:r>
        <w:separator/>
      </w:r>
    </w:p>
  </w:footnote>
  <w:footnote w:type="continuationSeparator" w:id="0">
    <w:p w14:paraId="04854B32" w14:textId="77777777" w:rsidR="001E7316" w:rsidRDefault="001E7316" w:rsidP="001E73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42BE3"/>
    <w:multiLevelType w:val="hybridMultilevel"/>
    <w:tmpl w:val="D32A8026"/>
    <w:lvl w:ilvl="0" w:tplc="2C4E27F2">
      <w:start w:val="1"/>
      <w:numFmt w:val="lowerRoman"/>
      <w:lvlText w:val="(%1)"/>
      <w:lvlJc w:val="left"/>
      <w:pPr>
        <w:ind w:left="1080" w:hanging="72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240CDC"/>
    <w:multiLevelType w:val="multilevel"/>
    <w:tmpl w:val="081A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5CD"/>
    <w:rsid w:val="00035887"/>
    <w:rsid w:val="000844D7"/>
    <w:rsid w:val="000B0EE3"/>
    <w:rsid w:val="000D3A76"/>
    <w:rsid w:val="000F3F22"/>
    <w:rsid w:val="001228D1"/>
    <w:rsid w:val="00147401"/>
    <w:rsid w:val="001544FE"/>
    <w:rsid w:val="00171115"/>
    <w:rsid w:val="0017117F"/>
    <w:rsid w:val="00182785"/>
    <w:rsid w:val="001B429A"/>
    <w:rsid w:val="001E7316"/>
    <w:rsid w:val="00204AD4"/>
    <w:rsid w:val="00234EFC"/>
    <w:rsid w:val="00244699"/>
    <w:rsid w:val="0025495D"/>
    <w:rsid w:val="00280085"/>
    <w:rsid w:val="002A42FC"/>
    <w:rsid w:val="002A611A"/>
    <w:rsid w:val="002F4CDD"/>
    <w:rsid w:val="00314489"/>
    <w:rsid w:val="0033456A"/>
    <w:rsid w:val="00357DAE"/>
    <w:rsid w:val="003C24D2"/>
    <w:rsid w:val="003C6935"/>
    <w:rsid w:val="003E5EA3"/>
    <w:rsid w:val="003F744E"/>
    <w:rsid w:val="0043155E"/>
    <w:rsid w:val="00441807"/>
    <w:rsid w:val="0048174C"/>
    <w:rsid w:val="004A4660"/>
    <w:rsid w:val="004A7C34"/>
    <w:rsid w:val="00591A0E"/>
    <w:rsid w:val="00596B7D"/>
    <w:rsid w:val="005A332C"/>
    <w:rsid w:val="005A3CCD"/>
    <w:rsid w:val="005C130C"/>
    <w:rsid w:val="005C1E5D"/>
    <w:rsid w:val="005E423C"/>
    <w:rsid w:val="0062647D"/>
    <w:rsid w:val="006347C1"/>
    <w:rsid w:val="006675E4"/>
    <w:rsid w:val="00675997"/>
    <w:rsid w:val="00684F94"/>
    <w:rsid w:val="00691EDF"/>
    <w:rsid w:val="00696592"/>
    <w:rsid w:val="006A6818"/>
    <w:rsid w:val="006A7A40"/>
    <w:rsid w:val="006B1DF6"/>
    <w:rsid w:val="0071037D"/>
    <w:rsid w:val="007140AE"/>
    <w:rsid w:val="00725368"/>
    <w:rsid w:val="007739CB"/>
    <w:rsid w:val="007A30C7"/>
    <w:rsid w:val="007D7BCB"/>
    <w:rsid w:val="007F0B17"/>
    <w:rsid w:val="0080440F"/>
    <w:rsid w:val="00806C1A"/>
    <w:rsid w:val="008A31F2"/>
    <w:rsid w:val="008B0543"/>
    <w:rsid w:val="008F0343"/>
    <w:rsid w:val="008F5E31"/>
    <w:rsid w:val="009331F9"/>
    <w:rsid w:val="00954D80"/>
    <w:rsid w:val="00970E17"/>
    <w:rsid w:val="00993FE7"/>
    <w:rsid w:val="009A2E15"/>
    <w:rsid w:val="009D7EE0"/>
    <w:rsid w:val="00A01C38"/>
    <w:rsid w:val="00A31B8E"/>
    <w:rsid w:val="00A9045E"/>
    <w:rsid w:val="00AC3E43"/>
    <w:rsid w:val="00AC6073"/>
    <w:rsid w:val="00AE1F01"/>
    <w:rsid w:val="00B10887"/>
    <w:rsid w:val="00B370D5"/>
    <w:rsid w:val="00B60EA8"/>
    <w:rsid w:val="00B83A35"/>
    <w:rsid w:val="00B87DE9"/>
    <w:rsid w:val="00B91A4C"/>
    <w:rsid w:val="00BA2768"/>
    <w:rsid w:val="00BE015B"/>
    <w:rsid w:val="00C3547C"/>
    <w:rsid w:val="00C45A1A"/>
    <w:rsid w:val="00C50EBA"/>
    <w:rsid w:val="00CB62C2"/>
    <w:rsid w:val="00CD3488"/>
    <w:rsid w:val="00D35E32"/>
    <w:rsid w:val="00D573C1"/>
    <w:rsid w:val="00D57EB1"/>
    <w:rsid w:val="00DB2559"/>
    <w:rsid w:val="00DD701D"/>
    <w:rsid w:val="00E00BAE"/>
    <w:rsid w:val="00E17612"/>
    <w:rsid w:val="00E54259"/>
    <w:rsid w:val="00E55198"/>
    <w:rsid w:val="00E67926"/>
    <w:rsid w:val="00E73063"/>
    <w:rsid w:val="00E74242"/>
    <w:rsid w:val="00EC2BE5"/>
    <w:rsid w:val="00ED4EA2"/>
    <w:rsid w:val="00EF05A6"/>
    <w:rsid w:val="00EF72FA"/>
    <w:rsid w:val="00F550CF"/>
    <w:rsid w:val="00F6204F"/>
    <w:rsid w:val="00F96810"/>
    <w:rsid w:val="00FB091D"/>
    <w:rsid w:val="00FC0A3C"/>
    <w:rsid w:val="00FC0C01"/>
    <w:rsid w:val="00FD3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E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EF72FA"/>
    <w:rPr>
      <w:color w:val="954F72" w:themeColor="followedHyperlink"/>
      <w:u w:val="single"/>
    </w:rPr>
  </w:style>
  <w:style w:type="paragraph" w:styleId="Header">
    <w:name w:val="header"/>
    <w:basedOn w:val="Normal"/>
    <w:link w:val="HeaderChar"/>
    <w:uiPriority w:val="99"/>
    <w:unhideWhenUsed/>
    <w:rsid w:val="001E73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316"/>
  </w:style>
  <w:style w:type="paragraph" w:styleId="Footer">
    <w:name w:val="footer"/>
    <w:basedOn w:val="Normal"/>
    <w:link w:val="FooterChar"/>
    <w:uiPriority w:val="99"/>
    <w:unhideWhenUsed/>
    <w:rsid w:val="001E73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316"/>
  </w:style>
  <w:style w:type="character" w:styleId="UnresolvedMention">
    <w:name w:val="Unresolved Mention"/>
    <w:basedOn w:val="DefaultParagraphFont"/>
    <w:uiPriority w:val="99"/>
    <w:semiHidden/>
    <w:unhideWhenUsed/>
    <w:rsid w:val="005E423C"/>
    <w:rPr>
      <w:color w:val="808080"/>
      <w:shd w:val="clear" w:color="auto" w:fill="E6E6E6"/>
    </w:rPr>
  </w:style>
  <w:style w:type="paragraph" w:styleId="EndnoteText">
    <w:name w:val="endnote text"/>
    <w:basedOn w:val="Normal"/>
    <w:link w:val="EndnoteTextChar"/>
    <w:uiPriority w:val="99"/>
    <w:semiHidden/>
    <w:unhideWhenUsed/>
    <w:rsid w:val="007D7B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D7BCB"/>
    <w:rPr>
      <w:sz w:val="20"/>
      <w:szCs w:val="20"/>
    </w:rPr>
  </w:style>
  <w:style w:type="character" w:styleId="EndnoteReference">
    <w:name w:val="endnote reference"/>
    <w:basedOn w:val="DefaultParagraphFont"/>
    <w:uiPriority w:val="99"/>
    <w:semiHidden/>
    <w:unhideWhenUsed/>
    <w:rsid w:val="007D7BCB"/>
    <w:rPr>
      <w:vertAlign w:val="superscript"/>
    </w:rPr>
  </w:style>
  <w:style w:type="paragraph" w:styleId="FootnoteText">
    <w:name w:val="footnote text"/>
    <w:basedOn w:val="Normal"/>
    <w:link w:val="FootnoteTextChar"/>
    <w:uiPriority w:val="99"/>
    <w:semiHidden/>
    <w:unhideWhenUsed/>
    <w:rsid w:val="008F03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0343"/>
    <w:rPr>
      <w:sz w:val="20"/>
      <w:szCs w:val="20"/>
    </w:rPr>
  </w:style>
  <w:style w:type="character" w:styleId="FootnoteReference">
    <w:name w:val="footnote reference"/>
    <w:basedOn w:val="DefaultParagraphFont"/>
    <w:uiPriority w:val="99"/>
    <w:semiHidden/>
    <w:unhideWhenUsed/>
    <w:rsid w:val="008F0343"/>
    <w:rPr>
      <w:vertAlign w:val="superscript"/>
    </w:rPr>
  </w:style>
  <w:style w:type="paragraph" w:styleId="NormalWeb">
    <w:name w:val="Normal (Web)"/>
    <w:basedOn w:val="Normal"/>
    <w:uiPriority w:val="99"/>
    <w:semiHidden/>
    <w:unhideWhenUsed/>
    <w:rsid w:val="000D3A7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136956">
      <w:bodyDiv w:val="1"/>
      <w:marLeft w:val="0"/>
      <w:marRight w:val="0"/>
      <w:marTop w:val="0"/>
      <w:marBottom w:val="0"/>
      <w:divBdr>
        <w:top w:val="none" w:sz="0" w:space="0" w:color="auto"/>
        <w:left w:val="none" w:sz="0" w:space="0" w:color="auto"/>
        <w:bottom w:val="none" w:sz="0" w:space="0" w:color="auto"/>
        <w:right w:val="none" w:sz="0" w:space="0" w:color="auto"/>
      </w:divBdr>
    </w:div>
    <w:div w:id="158244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sites/default/files/documents/HBC%20CIL%20Charging%20Schedule%20Full%20Document%20Feb%202013.pdf" TargetMode="External"/><Relationship Id="rId13" Type="http://schemas.openxmlformats.org/officeDocument/2006/relationships/hyperlink" Target="https://www.gov.uk/guidance/community-infrastructure-lev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uidance/community-infrastructure-lev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uidance/community-infrastructure-lev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4/385/regulation/4/made" TargetMode="External"/><Relationship Id="rId5" Type="http://schemas.openxmlformats.org/officeDocument/2006/relationships/webSettings" Target="webSettings.xml"/><Relationship Id="rId15" Type="http://schemas.openxmlformats.org/officeDocument/2006/relationships/hyperlink" Target="http://www.legislation.gov.uk/uksi/2010/948/regulation/9/made" TargetMode="External"/><Relationship Id="rId10" Type="http://schemas.openxmlformats.org/officeDocument/2006/relationships/hyperlink" Target="https://www.gov.uk/guidance/community-infrastructure-lev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avant.gov.uk/community-infrastructure-levy" TargetMode="External"/><Relationship Id="rId14" Type="http://schemas.openxmlformats.org/officeDocument/2006/relationships/hyperlink" Target="https://www.gov.uk/guidance/community-infrastructure-l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EC973-0828-49AF-A0A4-E515D513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Weaver, Louise</cp:lastModifiedBy>
  <cp:revision>7</cp:revision>
  <cp:lastPrinted>2021-03-01T14:49:00Z</cp:lastPrinted>
  <dcterms:created xsi:type="dcterms:W3CDTF">2022-02-28T09:21:00Z</dcterms:created>
  <dcterms:modified xsi:type="dcterms:W3CDTF">2022-03-01T10:43:00Z</dcterms:modified>
</cp:coreProperties>
</file>