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BE3B5D" w14:textId="77777777" w:rsidR="00F91FE6" w:rsidRPr="00673AA1" w:rsidRDefault="00F91FE6" w:rsidP="00852456">
      <w:pPr>
        <w:jc w:val="both"/>
        <w:rPr>
          <w:b/>
          <w:u w:val="single"/>
        </w:rPr>
      </w:pPr>
      <w:r w:rsidRPr="00673AA1">
        <w:rPr>
          <w:b/>
          <w:u w:val="single"/>
        </w:rPr>
        <w:t xml:space="preserve">Heritage Team Response </w:t>
      </w:r>
    </w:p>
    <w:p w14:paraId="57F84FC7" w14:textId="78594E2B" w:rsidR="00F91FE6" w:rsidRPr="00673AA1" w:rsidRDefault="00F91FE6" w:rsidP="00852456">
      <w:pPr>
        <w:jc w:val="both"/>
        <w:rPr>
          <w:b/>
          <w:u w:val="single"/>
        </w:rPr>
      </w:pPr>
      <w:r w:rsidRPr="00673AA1">
        <w:rPr>
          <w:b/>
          <w:u w:val="single"/>
        </w:rPr>
        <w:t xml:space="preserve">Date – </w:t>
      </w:r>
      <w:r w:rsidR="0077181E">
        <w:rPr>
          <w:b/>
          <w:u w:val="single"/>
        </w:rPr>
        <w:t>9/12</w:t>
      </w:r>
      <w:r w:rsidR="00E26968">
        <w:rPr>
          <w:b/>
          <w:u w:val="single"/>
        </w:rPr>
        <w:t>/21</w:t>
      </w:r>
    </w:p>
    <w:p w14:paraId="6C195BD5" w14:textId="75D1A638"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E26968">
        <w:rPr>
          <w:b/>
          <w:u w:val="single"/>
        </w:rPr>
        <w:t>1</w:t>
      </w:r>
      <w:r w:rsidR="00031E65" w:rsidRPr="00673AA1">
        <w:rPr>
          <w:b/>
          <w:u w:val="single"/>
        </w:rPr>
        <w:t>/0</w:t>
      </w:r>
      <w:r w:rsidR="00324797">
        <w:rPr>
          <w:b/>
          <w:u w:val="single"/>
        </w:rPr>
        <w:t>1</w:t>
      </w:r>
      <w:r w:rsidR="00213D1D">
        <w:rPr>
          <w:b/>
          <w:u w:val="single"/>
        </w:rPr>
        <w:t>284</w:t>
      </w:r>
      <w:r w:rsidR="000614A8">
        <w:rPr>
          <w:b/>
          <w:u w:val="single"/>
        </w:rPr>
        <w:t xml:space="preserve"> – </w:t>
      </w:r>
      <w:r w:rsidR="00213D1D">
        <w:rPr>
          <w:b/>
          <w:u w:val="single"/>
        </w:rPr>
        <w:t xml:space="preserve">7D West Street, Havant </w:t>
      </w:r>
      <w:r w:rsidR="00BF406E">
        <w:rPr>
          <w:b/>
          <w:u w:val="single"/>
        </w:rPr>
        <w:t xml:space="preserve"> </w:t>
      </w:r>
      <w:r w:rsidR="000614A8">
        <w:rPr>
          <w:b/>
          <w:u w:val="single"/>
        </w:rPr>
        <w:t xml:space="preserve"> </w:t>
      </w:r>
    </w:p>
    <w:p w14:paraId="113BCB89" w14:textId="663A3E53" w:rsidR="00BF406E" w:rsidRDefault="000A653F" w:rsidP="00852456">
      <w:pPr>
        <w:jc w:val="both"/>
      </w:pPr>
      <w:r w:rsidRPr="000A653F">
        <w:t xml:space="preserve">The </w:t>
      </w:r>
      <w:r>
        <w:t>application site</w:t>
      </w:r>
      <w:r w:rsidRPr="000A653F">
        <w:t xml:space="preserve"> </w:t>
      </w:r>
      <w:r w:rsidR="00213D1D">
        <w:t xml:space="preserve">comprises a modern built commercial unit within the St Faiths Conservation Area. It is located to the rear of West Street, close to </w:t>
      </w:r>
      <w:proofErr w:type="spellStart"/>
      <w:r w:rsidR="00213D1D">
        <w:t>Bulbeck</w:t>
      </w:r>
      <w:proofErr w:type="spellEnd"/>
      <w:r w:rsidR="00213D1D">
        <w:t xml:space="preserve"> Road. The rear of the site backs onto the Robin Hood Public House which is a grade II listed building. </w:t>
      </w:r>
    </w:p>
    <w:p w14:paraId="21402588" w14:textId="77777777" w:rsidR="00FB0F80" w:rsidRPr="00FB0F80" w:rsidRDefault="00FB0F80" w:rsidP="00852456">
      <w:pPr>
        <w:jc w:val="both"/>
        <w:rPr>
          <w:b/>
          <w:u w:val="single"/>
        </w:rPr>
      </w:pPr>
      <w:r w:rsidRPr="00FB0F80">
        <w:rPr>
          <w:b/>
          <w:u w:val="single"/>
        </w:rPr>
        <w:t>Proposal</w:t>
      </w:r>
    </w:p>
    <w:p w14:paraId="74797700" w14:textId="66973A21" w:rsidR="00FB5AB4" w:rsidRPr="0077181E" w:rsidRDefault="0077181E" w:rsidP="00BF406E">
      <w:pPr>
        <w:autoSpaceDE w:val="0"/>
        <w:autoSpaceDN w:val="0"/>
        <w:adjustRightInd w:val="0"/>
        <w:spacing w:after="0" w:line="240" w:lineRule="auto"/>
        <w:rPr>
          <w:rFonts w:cstheme="minorHAnsi"/>
        </w:rPr>
      </w:pPr>
      <w:r w:rsidRPr="0077181E">
        <w:rPr>
          <w:rFonts w:cstheme="minorHAnsi"/>
          <w:color w:val="333333"/>
          <w:shd w:val="clear" w:color="auto" w:fill="FFFFFF"/>
        </w:rPr>
        <w:t>Change of use from bank to Sui Generis (hot food takeaway), ground floor only.</w:t>
      </w:r>
    </w:p>
    <w:p w14:paraId="02E8BAF0" w14:textId="77777777" w:rsidR="00BF406E" w:rsidRPr="00BF406E" w:rsidRDefault="00BF406E" w:rsidP="00BF406E">
      <w:pPr>
        <w:autoSpaceDE w:val="0"/>
        <w:autoSpaceDN w:val="0"/>
        <w:adjustRightInd w:val="0"/>
        <w:spacing w:after="0" w:line="240" w:lineRule="auto"/>
        <w:rPr>
          <w:rFonts w:cstheme="minorHAnsi"/>
        </w:rPr>
      </w:pPr>
    </w:p>
    <w:p w14:paraId="72D72000" w14:textId="77777777" w:rsidR="00852456" w:rsidRPr="00673AA1" w:rsidRDefault="00852456" w:rsidP="00852456">
      <w:pPr>
        <w:jc w:val="both"/>
        <w:rPr>
          <w:b/>
          <w:u w:val="single"/>
        </w:rPr>
      </w:pPr>
      <w:r w:rsidRPr="00673AA1">
        <w:rPr>
          <w:b/>
          <w:u w:val="single"/>
        </w:rPr>
        <w:t xml:space="preserve">Legislative and Policy Context </w:t>
      </w:r>
    </w:p>
    <w:p w14:paraId="41F39A82" w14:textId="77777777" w:rsidR="000D6036" w:rsidRPr="00673AA1" w:rsidRDefault="000D6036" w:rsidP="00852456">
      <w:pPr>
        <w:jc w:val="both"/>
      </w:pPr>
      <w:r w:rsidRPr="00673AA1">
        <w:t xml:space="preserve">When assessing the proposal, the following legislation and policy context is taken in consideration. </w:t>
      </w:r>
    </w:p>
    <w:p w14:paraId="397B4678" w14:textId="77777777" w:rsidR="00852456" w:rsidRPr="00673AA1" w:rsidRDefault="00852456" w:rsidP="00852456">
      <w:pPr>
        <w:jc w:val="both"/>
      </w:pPr>
      <w:r w:rsidRPr="00673AA1">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494B29E2" w14:textId="77777777"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63929718" w14:textId="77777777" w:rsidR="00852456" w:rsidRDefault="00852456" w:rsidP="00F426F9">
      <w:pPr>
        <w:autoSpaceDE w:val="0"/>
        <w:autoSpaceDN w:val="0"/>
        <w:adjustRightInd w:val="0"/>
        <w:spacing w:after="0" w:line="240" w:lineRule="auto"/>
        <w:jc w:val="both"/>
      </w:pPr>
      <w:r w:rsidRPr="00673AA1">
        <w:rPr>
          <w:rFonts w:ascii="Calibri" w:hAnsi="Calibri" w:cs="Calibri"/>
        </w:rPr>
        <w:t xml:space="preserve">The revised National Planning Policy Framework (NPPF) was published in February 2019 and sets down the policies that the Council must </w:t>
      </w:r>
      <w:proofErr w:type="gramStart"/>
      <w:r w:rsidRPr="00673AA1">
        <w:rPr>
          <w:rFonts w:ascii="Calibri" w:hAnsi="Calibri" w:cs="Calibri"/>
        </w:rPr>
        <w:t>take into account</w:t>
      </w:r>
      <w:proofErr w:type="gramEnd"/>
      <w:r w:rsidRPr="00673AA1">
        <w:rPr>
          <w:rFonts w:ascii="Calibri" w:hAnsi="Calibri" w:cs="Calibri"/>
        </w:rPr>
        <w:t xml:space="preserve"> when determining planning</w:t>
      </w:r>
      <w:r w:rsidR="00F426F9">
        <w:rPr>
          <w:rFonts w:ascii="Calibri" w:hAnsi="Calibri" w:cs="Calibri"/>
        </w:rPr>
        <w:t xml:space="preserve"> </w:t>
      </w:r>
      <w:r w:rsidRPr="00673AA1">
        <w:rPr>
          <w:rFonts w:ascii="Calibri" w:hAnsi="Calibri" w:cs="Calibri"/>
        </w:rPr>
        <w:t xml:space="preserve">applications. </w:t>
      </w:r>
      <w:r w:rsidRPr="00673AA1">
        <w:t xml:space="preserve">The ‘Historic Environment Good Practice Advice in Planning Note 2’, states at paragraph 4:  </w:t>
      </w:r>
    </w:p>
    <w:p w14:paraId="09BB6550" w14:textId="77777777" w:rsidR="00F426F9" w:rsidRPr="00F426F9" w:rsidRDefault="00F426F9" w:rsidP="00F426F9">
      <w:pPr>
        <w:autoSpaceDE w:val="0"/>
        <w:autoSpaceDN w:val="0"/>
        <w:adjustRightInd w:val="0"/>
        <w:spacing w:after="0" w:line="240" w:lineRule="auto"/>
        <w:jc w:val="both"/>
        <w:rPr>
          <w:rFonts w:ascii="Calibri" w:hAnsi="Calibri" w:cs="Calibri"/>
        </w:rPr>
      </w:pPr>
    </w:p>
    <w:p w14:paraId="752A6F9F" w14:textId="77777777" w:rsidR="00852456" w:rsidRPr="00673AA1" w:rsidRDefault="00852456" w:rsidP="00852456">
      <w:pPr>
        <w:jc w:val="both"/>
      </w:pPr>
      <w:r w:rsidRPr="00673AA1">
        <w:t xml:space="preserve">‘The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w:t>
      </w:r>
      <w:proofErr w:type="gramStart"/>
      <w:r w:rsidRPr="00673AA1">
        <w:t>and,</w:t>
      </w:r>
      <w:proofErr w:type="gramEnd"/>
      <w:r w:rsidRPr="00673AA1">
        <w:t xml:space="preserve"> the policy requirements of the NPPF, great importance is placed on understanding the nature, extent and level of the significance of the heritage asset.</w:t>
      </w:r>
    </w:p>
    <w:p w14:paraId="7809247D" w14:textId="2469BD3A" w:rsidR="00852456" w:rsidRPr="00673AA1" w:rsidRDefault="00852456" w:rsidP="00852456">
      <w:pPr>
        <w:jc w:val="both"/>
      </w:pPr>
      <w:r w:rsidRPr="00673AA1">
        <w:t>The revised NPPF (</w:t>
      </w:r>
      <w:r w:rsidR="00E26968">
        <w:t>July 2021</w:t>
      </w:r>
      <w:r w:rsidRPr="00673AA1">
        <w:t>) sets out in Chapter 16, the core principles relating to development affecting Heritage Assets that local planning authorities should consider in making planning decisions in the following paragraphs:</w:t>
      </w:r>
    </w:p>
    <w:p w14:paraId="11C9C7D3" w14:textId="77777777" w:rsidR="00852456" w:rsidRPr="00673AA1" w:rsidRDefault="00852456" w:rsidP="00852456">
      <w:pPr>
        <w:jc w:val="both"/>
      </w:pPr>
      <w:r w:rsidRPr="00673AA1">
        <w:t xml:space="preserve">‘184.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673AA1">
        <w:t>resource, and</w:t>
      </w:r>
      <w:proofErr w:type="gramEnd"/>
      <w:r w:rsidRPr="00673AA1">
        <w:t xml:space="preserve"> should be conserved in a manner appropriate to their significance, so that they can be enjoyed for their contribution to the quality of life of existing and future generations.</w:t>
      </w:r>
    </w:p>
    <w:p w14:paraId="0503993C" w14:textId="77777777" w:rsidR="00852456" w:rsidRPr="00673AA1" w:rsidRDefault="00852456" w:rsidP="00852456">
      <w:pPr>
        <w:jc w:val="both"/>
      </w:pPr>
      <w:r w:rsidRPr="00673AA1">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w:t>
      </w:r>
      <w:r w:rsidRPr="00673AA1">
        <w:lastRenderedPageBreak/>
        <w:t xml:space="preserve">has the potential to include, heritage assets with archaeological interest, local planning authorities should require developers to submit an appropriate desk-based assessment and, where necessary, a field evaluation. </w:t>
      </w:r>
    </w:p>
    <w:p w14:paraId="761A5362" w14:textId="77777777" w:rsidR="00852456" w:rsidRPr="00673AA1" w:rsidRDefault="00852456" w:rsidP="00852456">
      <w:pPr>
        <w:jc w:val="both"/>
      </w:pPr>
      <w:r w:rsidRPr="00673AA1">
        <w:t xml:space="preserve">190.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6AFDC678" w14:textId="77777777" w:rsidR="00852456" w:rsidRPr="00673AA1" w:rsidRDefault="00852456" w:rsidP="00852456">
      <w:pPr>
        <w:jc w:val="both"/>
      </w:pPr>
      <w:r w:rsidRPr="00673AA1">
        <w:t xml:space="preserve">191. Where there is evidence of deliberate neglect of, or damage to, a heritage asset, the deteriorated state of the heritage asset should not be </w:t>
      </w:r>
      <w:proofErr w:type="gramStart"/>
      <w:r w:rsidRPr="00673AA1">
        <w:t>taken into account</w:t>
      </w:r>
      <w:proofErr w:type="gramEnd"/>
      <w:r w:rsidRPr="00673AA1">
        <w:t xml:space="preserve"> in any decision. </w:t>
      </w:r>
    </w:p>
    <w:p w14:paraId="24B3CAC7" w14:textId="77777777" w:rsidR="00852456" w:rsidRPr="00673AA1" w:rsidRDefault="00852456" w:rsidP="00852456">
      <w:pPr>
        <w:jc w:val="both"/>
      </w:pPr>
      <w:r w:rsidRPr="00673AA1">
        <w:t xml:space="preserve">192. In determining applications, local planning authorities should take account of: </w:t>
      </w:r>
    </w:p>
    <w:p w14:paraId="2076FE66" w14:textId="77777777" w:rsidR="00852456" w:rsidRPr="00673AA1" w:rsidRDefault="00852456" w:rsidP="00852456">
      <w:pPr>
        <w:jc w:val="both"/>
      </w:pPr>
      <w:r w:rsidRPr="00673AA1">
        <w:t xml:space="preserve">a) the desirability of sustaining and enhancing the significance of heritage assets and putting them to viable uses consistent with their </w:t>
      </w:r>
      <w:proofErr w:type="gramStart"/>
      <w:r w:rsidRPr="00673AA1">
        <w:t>conservation;</w:t>
      </w:r>
      <w:proofErr w:type="gramEnd"/>
      <w:r w:rsidRPr="00673AA1">
        <w:t xml:space="preserve"> </w:t>
      </w:r>
    </w:p>
    <w:p w14:paraId="100A5B2F" w14:textId="77777777" w:rsidR="00852456" w:rsidRPr="00673AA1" w:rsidRDefault="00852456" w:rsidP="00852456">
      <w:pPr>
        <w:jc w:val="both"/>
      </w:pPr>
      <w:r w:rsidRPr="00673AA1">
        <w:t xml:space="preserve">b) the positive contribution that conservation of heritage assets can make to sustainable communities including their economic vitality; and </w:t>
      </w:r>
    </w:p>
    <w:p w14:paraId="7858E287" w14:textId="77777777" w:rsidR="00852456" w:rsidRPr="00673AA1" w:rsidRDefault="00852456" w:rsidP="00852456">
      <w:pPr>
        <w:jc w:val="both"/>
      </w:pPr>
      <w:r w:rsidRPr="00673AA1">
        <w:t>c) the desirability of new development making a positive contribution to local character and distinctiveness.</w:t>
      </w:r>
    </w:p>
    <w:p w14:paraId="04F747B0" w14:textId="77777777" w:rsidR="00852456" w:rsidRPr="00673AA1" w:rsidRDefault="00852456" w:rsidP="00852456">
      <w:pPr>
        <w:jc w:val="both"/>
        <w:rPr>
          <w:b/>
          <w:u w:val="single"/>
        </w:rPr>
      </w:pPr>
      <w:r w:rsidRPr="00673AA1">
        <w:rPr>
          <w:b/>
          <w:u w:val="single"/>
        </w:rPr>
        <w:t xml:space="preserve">Considering potential impacts </w:t>
      </w:r>
    </w:p>
    <w:p w14:paraId="1D85DB1E" w14:textId="77777777" w:rsidR="00852456" w:rsidRPr="00673AA1" w:rsidRDefault="00852456" w:rsidP="00852456">
      <w:pPr>
        <w:jc w:val="both"/>
      </w:pPr>
      <w:r w:rsidRPr="00673AA1">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3333DFDF" w14:textId="77777777" w:rsidR="00852456" w:rsidRPr="00673AA1" w:rsidRDefault="00852456" w:rsidP="00852456">
      <w:pPr>
        <w:jc w:val="both"/>
      </w:pPr>
      <w:r w:rsidRPr="00673AA1">
        <w:t xml:space="preserve">194. Any harm to, or loss of, the significance of a designated heritage asset (from its alteration or destruction, or from development within its setting), should require clear and convincing justification. Substantial harm to or loss of: </w:t>
      </w:r>
    </w:p>
    <w:p w14:paraId="68203CE9" w14:textId="77777777" w:rsidR="00852456" w:rsidRPr="00673AA1" w:rsidRDefault="00852456" w:rsidP="00852456">
      <w:pPr>
        <w:jc w:val="both"/>
      </w:pPr>
      <w:r w:rsidRPr="00673AA1">
        <w:t xml:space="preserve">a) grade II listed buildings, or grade II registered parks or gardens, should be </w:t>
      </w:r>
      <w:proofErr w:type="gramStart"/>
      <w:r w:rsidRPr="00673AA1">
        <w:t>exceptional;</w:t>
      </w:r>
      <w:proofErr w:type="gramEnd"/>
      <w:r w:rsidRPr="00673AA1">
        <w:t xml:space="preserve"> </w:t>
      </w:r>
    </w:p>
    <w:p w14:paraId="37CD9AC0" w14:textId="77777777" w:rsidR="00852456" w:rsidRPr="00673AA1" w:rsidRDefault="00852456" w:rsidP="00852456">
      <w:pPr>
        <w:jc w:val="both"/>
      </w:pPr>
      <w:r w:rsidRPr="00673AA1">
        <w:t>b) assets of the highest significance, notably scheduled monuments, protected wreck sites, registered battlefields, grade I and II* listed buildings, grade I and II* registered parks and gardens, and World Heritage Sites, should be wholly exceptional</w:t>
      </w:r>
      <w:r w:rsidR="00E31470" w:rsidRPr="00673AA1">
        <w:t xml:space="preserve">. </w:t>
      </w:r>
    </w:p>
    <w:p w14:paraId="65B68500" w14:textId="77777777" w:rsidR="00E31470" w:rsidRPr="00673AA1" w:rsidRDefault="00E31470" w:rsidP="00852456">
      <w:pPr>
        <w:jc w:val="both"/>
      </w:pPr>
      <w:r w:rsidRPr="00673AA1">
        <w:t xml:space="preserve">With regards to local planning policy, the following are relevant: </w:t>
      </w:r>
    </w:p>
    <w:p w14:paraId="26193542"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301CD9CD"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5DDC697C"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6BC795FB" w14:textId="77777777" w:rsidR="00852456" w:rsidRPr="00673AA1" w:rsidRDefault="00852456" w:rsidP="00E31B3A">
      <w:pPr>
        <w:jc w:val="both"/>
      </w:pPr>
      <w:r w:rsidRPr="00673AA1">
        <w:lastRenderedPageBreak/>
        <w:t>Identifies and responds positively to existing features of natural, historic or local character within or close to the proposed development site</w:t>
      </w:r>
      <w:r w:rsidR="002B284B" w:rsidRPr="00673AA1">
        <w:t>’</w:t>
      </w:r>
      <w:r w:rsidRPr="00673AA1">
        <w:t>.</w:t>
      </w:r>
    </w:p>
    <w:p w14:paraId="62D1B984"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22C6D632"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4113FC74"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36C8C223"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ECC83F1" w14:textId="77777777" w:rsidR="00046471" w:rsidRPr="00673AA1" w:rsidRDefault="00046471" w:rsidP="00C11393">
      <w:pPr>
        <w:autoSpaceDE w:val="0"/>
        <w:autoSpaceDN w:val="0"/>
        <w:adjustRightInd w:val="0"/>
        <w:spacing w:after="0" w:line="240" w:lineRule="auto"/>
        <w:jc w:val="both"/>
        <w:rPr>
          <w:rFonts w:cs="Arial"/>
          <w:bCs/>
        </w:rPr>
      </w:pPr>
    </w:p>
    <w:p w14:paraId="16EE9C7B"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5AF5CBA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2293F0D6" w14:textId="77777777" w:rsidR="001C3AF7" w:rsidRPr="00673AA1" w:rsidRDefault="001C3AF7" w:rsidP="00C11393">
      <w:pPr>
        <w:jc w:val="both"/>
      </w:pPr>
      <w:r w:rsidRPr="00673AA1">
        <w:rPr>
          <w:rFonts w:cs="Arial"/>
          <w:bCs/>
        </w:rPr>
        <w:t>where possible positive opportunities to conserve and enjoy heritage assets.</w:t>
      </w:r>
    </w:p>
    <w:p w14:paraId="1ABBFFAE" w14:textId="77777777" w:rsidR="00E26968" w:rsidRDefault="00E26968" w:rsidP="00E26968">
      <w:pPr>
        <w:jc w:val="both"/>
      </w:pPr>
      <w:r>
        <w:t xml:space="preserve">Emerging Policy E13 from the Draft Local Plan 2036 provides similar advice to existing Policy CS11, but also adds that where harm cannot be avoided, mitigation may be proportionate to the impact and the significance of the heritage assets and fully incorporated into the development proposals. </w:t>
      </w:r>
    </w:p>
    <w:p w14:paraId="10FEF3B6" w14:textId="77164449" w:rsidR="00852456" w:rsidRDefault="00E26968" w:rsidP="00E31B3A">
      <w:pPr>
        <w:pStyle w:val="Default"/>
        <w:jc w:val="both"/>
        <w:rPr>
          <w:b/>
          <w:sz w:val="22"/>
          <w:szCs w:val="22"/>
          <w:u w:val="single"/>
        </w:rPr>
      </w:pPr>
      <w:r>
        <w:rPr>
          <w:b/>
          <w:sz w:val="22"/>
          <w:szCs w:val="22"/>
          <w:u w:val="single"/>
        </w:rPr>
        <w:t>Assessment</w:t>
      </w:r>
      <w:r w:rsidR="00C11393" w:rsidRPr="00673AA1">
        <w:rPr>
          <w:b/>
          <w:sz w:val="22"/>
          <w:szCs w:val="22"/>
          <w:u w:val="single"/>
        </w:rPr>
        <w:t xml:space="preserve">: </w:t>
      </w:r>
    </w:p>
    <w:p w14:paraId="2C46ADCA" w14:textId="2E85EF3B" w:rsidR="00EF6E16" w:rsidRDefault="00EF6E16" w:rsidP="00E31B3A">
      <w:pPr>
        <w:pStyle w:val="Default"/>
        <w:jc w:val="both"/>
        <w:rPr>
          <w:b/>
          <w:sz w:val="22"/>
          <w:szCs w:val="22"/>
          <w:u w:val="single"/>
        </w:rPr>
      </w:pPr>
    </w:p>
    <w:p w14:paraId="633783E5" w14:textId="75CAB67D" w:rsidR="00EF6E16" w:rsidRPr="00EF6E16" w:rsidRDefault="00EF6E16" w:rsidP="00E31B3A">
      <w:pPr>
        <w:pStyle w:val="Default"/>
        <w:jc w:val="both"/>
        <w:rPr>
          <w:bCs/>
          <w:sz w:val="22"/>
          <w:szCs w:val="22"/>
        </w:rPr>
      </w:pPr>
      <w:r w:rsidRPr="00EF6E16">
        <w:rPr>
          <w:bCs/>
          <w:sz w:val="22"/>
          <w:szCs w:val="22"/>
        </w:rPr>
        <w:t xml:space="preserve">The </w:t>
      </w:r>
      <w:r w:rsidR="0077181E">
        <w:rPr>
          <w:bCs/>
          <w:sz w:val="22"/>
          <w:szCs w:val="22"/>
        </w:rPr>
        <w:t xml:space="preserve">site has an existing commercial use within the town centre. The proposal would retain the commercial use of the building and the physical changes proposed would be minimal, other than changes to the signage at the front of the building. </w:t>
      </w:r>
    </w:p>
    <w:p w14:paraId="1FD859FF" w14:textId="77777777" w:rsidR="002B3D0D" w:rsidRPr="00673AA1" w:rsidRDefault="002B3D0D" w:rsidP="00E31B3A">
      <w:pPr>
        <w:pStyle w:val="Default"/>
        <w:jc w:val="both"/>
        <w:rPr>
          <w:b/>
          <w:sz w:val="22"/>
          <w:szCs w:val="22"/>
          <w:u w:val="single"/>
        </w:rPr>
      </w:pPr>
    </w:p>
    <w:p w14:paraId="3C5E5ECF" w14:textId="7CC7CB00" w:rsidR="00306A94" w:rsidRDefault="00306A94" w:rsidP="00306A94">
      <w:pPr>
        <w:pStyle w:val="Default"/>
        <w:jc w:val="both"/>
        <w:rPr>
          <w:sz w:val="22"/>
          <w:szCs w:val="22"/>
        </w:rPr>
      </w:pPr>
      <w:proofErr w:type="gramStart"/>
      <w:r w:rsidRPr="00306A94">
        <w:rPr>
          <w:sz w:val="22"/>
          <w:szCs w:val="22"/>
        </w:rPr>
        <w:t>Overall</w:t>
      </w:r>
      <w:proofErr w:type="gramEnd"/>
      <w:r w:rsidRPr="00306A94">
        <w:rPr>
          <w:sz w:val="22"/>
          <w:szCs w:val="22"/>
        </w:rPr>
        <w:t xml:space="preserve"> it is considered that the proposal will serve to preserve and enhance the character of the conservation area and therefore meets the test of Section 72 of the Planning (Listed Buildings and Conservation Areas) Act 1990</w:t>
      </w:r>
      <w:r w:rsidR="004642E7">
        <w:rPr>
          <w:sz w:val="22"/>
          <w:szCs w:val="22"/>
        </w:rPr>
        <w:t xml:space="preserve">, which </w:t>
      </w:r>
      <w:r w:rsidRPr="00306A94">
        <w:rPr>
          <w:sz w:val="22"/>
          <w:szCs w:val="22"/>
        </w:rPr>
        <w:t>requires planning authorities, when considering whether to grant planning permission for development which affects a Conservation Area, to have special regard to the desirability of preserving or enhancing the character and appearance of that area.</w:t>
      </w:r>
    </w:p>
    <w:p w14:paraId="17C3BE02" w14:textId="4B5D01B5" w:rsidR="0077181E" w:rsidRDefault="0077181E" w:rsidP="00306A94">
      <w:pPr>
        <w:pStyle w:val="Default"/>
        <w:jc w:val="both"/>
        <w:rPr>
          <w:sz w:val="22"/>
          <w:szCs w:val="22"/>
        </w:rPr>
      </w:pPr>
    </w:p>
    <w:p w14:paraId="4A175252" w14:textId="22A586D6" w:rsidR="0077181E" w:rsidRDefault="0077181E" w:rsidP="00306A94">
      <w:pPr>
        <w:pStyle w:val="Default"/>
        <w:jc w:val="both"/>
        <w:rPr>
          <w:sz w:val="22"/>
          <w:szCs w:val="22"/>
        </w:rPr>
      </w:pPr>
      <w:r>
        <w:rPr>
          <w:sz w:val="22"/>
          <w:szCs w:val="22"/>
        </w:rPr>
        <w:t xml:space="preserve">It is also considered that the proposal would not result in harm to the adjacent Grade II listed building. </w:t>
      </w:r>
    </w:p>
    <w:p w14:paraId="20208C55" w14:textId="1BB46CE0" w:rsidR="00EF6E16" w:rsidRDefault="00EF6E16" w:rsidP="00306A94">
      <w:pPr>
        <w:pStyle w:val="Default"/>
        <w:jc w:val="both"/>
        <w:rPr>
          <w:sz w:val="22"/>
          <w:szCs w:val="22"/>
        </w:rPr>
      </w:pPr>
    </w:p>
    <w:p w14:paraId="76E5C0AE" w14:textId="3CEBDD96" w:rsidR="00854D56" w:rsidRPr="00E26968" w:rsidRDefault="004542E1" w:rsidP="00E26968">
      <w:pPr>
        <w:pStyle w:val="Default"/>
        <w:jc w:val="both"/>
        <w:rPr>
          <w:b/>
          <w:sz w:val="22"/>
          <w:szCs w:val="22"/>
          <w:u w:val="single"/>
        </w:rPr>
      </w:pPr>
      <w:proofErr w:type="gramStart"/>
      <w:r w:rsidRPr="00E26968">
        <w:rPr>
          <w:b/>
          <w:sz w:val="22"/>
          <w:szCs w:val="22"/>
          <w:u w:val="single"/>
        </w:rPr>
        <w:t xml:space="preserve">Conclusion </w:t>
      </w:r>
      <w:r w:rsidR="00E26968" w:rsidRPr="00E26968">
        <w:rPr>
          <w:b/>
          <w:sz w:val="22"/>
          <w:szCs w:val="22"/>
          <w:u w:val="single"/>
        </w:rPr>
        <w:t xml:space="preserve"> -</w:t>
      </w:r>
      <w:proofErr w:type="gramEnd"/>
      <w:r w:rsidR="00E26968" w:rsidRPr="00E26968">
        <w:rPr>
          <w:b/>
          <w:sz w:val="22"/>
          <w:szCs w:val="22"/>
          <w:u w:val="single"/>
        </w:rPr>
        <w:t xml:space="preserve"> </w:t>
      </w:r>
      <w:r w:rsidR="00097C66" w:rsidRPr="00E26968">
        <w:rPr>
          <w:b/>
          <w:bCs/>
          <w:sz w:val="22"/>
          <w:szCs w:val="22"/>
          <w:u w:val="single"/>
        </w:rPr>
        <w:t>No objection</w:t>
      </w:r>
      <w:r w:rsidR="0077181E">
        <w:rPr>
          <w:b/>
          <w:bCs/>
          <w:sz w:val="22"/>
          <w:szCs w:val="22"/>
          <w:u w:val="single"/>
        </w:rPr>
        <w:t xml:space="preserve">. </w:t>
      </w:r>
      <w:r w:rsidR="00EF6E16">
        <w:rPr>
          <w:b/>
          <w:bCs/>
          <w:sz w:val="22"/>
          <w:szCs w:val="22"/>
          <w:u w:val="single"/>
        </w:rPr>
        <w:t xml:space="preserve"> </w:t>
      </w:r>
    </w:p>
    <w:p w14:paraId="671DBDE8" w14:textId="77777777" w:rsidR="00B0774E" w:rsidRPr="00B0774E" w:rsidRDefault="00854D56" w:rsidP="00854D56">
      <w:pPr>
        <w:pStyle w:val="Default"/>
        <w:ind w:left="360"/>
        <w:jc w:val="both"/>
        <w:rPr>
          <w:rFonts w:asciiTheme="minorHAnsi" w:hAnsiTheme="minorHAnsi"/>
          <w:sz w:val="22"/>
          <w:szCs w:val="22"/>
        </w:rPr>
      </w:pPr>
      <w:r>
        <w:rPr>
          <w:rFonts w:asciiTheme="minorHAnsi" w:hAnsiTheme="minorHAnsi"/>
          <w:sz w:val="22"/>
          <w:szCs w:val="22"/>
        </w:rPr>
        <w:t xml:space="preserve">   </w:t>
      </w:r>
      <w:r w:rsidR="00B0774E" w:rsidRPr="00B0774E">
        <w:rPr>
          <w:rFonts w:asciiTheme="minorHAnsi" w:hAnsiTheme="minorHAnsi" w:cs="Arial"/>
          <w:sz w:val="22"/>
          <w:szCs w:val="22"/>
        </w:rPr>
        <w:t xml:space="preserve"> </w:t>
      </w:r>
    </w:p>
    <w:p w14:paraId="7E7A167A" w14:textId="77777777" w:rsidR="00BE59F6" w:rsidRDefault="00272D95">
      <w:r>
        <w:t xml:space="preserve">Rachael McMurray </w:t>
      </w:r>
    </w:p>
    <w:p w14:paraId="2CBD42A1" w14:textId="77777777" w:rsidR="00272D95" w:rsidRDefault="00272D95">
      <w:r>
        <w:t xml:space="preserve">Senior Conservation Planner </w:t>
      </w:r>
    </w:p>
    <w:p w14:paraId="73B1DB26" w14:textId="51D6A8EA" w:rsidR="00673AA1" w:rsidRPr="00673AA1" w:rsidRDefault="0077181E">
      <w:r>
        <w:t>9/12</w:t>
      </w:r>
      <w:r w:rsidR="00E26968">
        <w:t>/</w:t>
      </w:r>
      <w:r>
        <w:t>20</w:t>
      </w:r>
      <w:r w:rsidR="00E26968">
        <w:t>21</w:t>
      </w:r>
    </w:p>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7"/>
  </w:num>
  <w:num w:numId="6">
    <w:abstractNumId w:val="0"/>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251FB"/>
    <w:rsid w:val="00031E65"/>
    <w:rsid w:val="00046471"/>
    <w:rsid w:val="000614A8"/>
    <w:rsid w:val="000634CD"/>
    <w:rsid w:val="00097C66"/>
    <w:rsid w:val="000A653F"/>
    <w:rsid w:val="000D155D"/>
    <w:rsid w:val="000D6036"/>
    <w:rsid w:val="00181768"/>
    <w:rsid w:val="001A546A"/>
    <w:rsid w:val="001C3AF7"/>
    <w:rsid w:val="00213D1D"/>
    <w:rsid w:val="00272D95"/>
    <w:rsid w:val="00274FB6"/>
    <w:rsid w:val="00280006"/>
    <w:rsid w:val="002B284B"/>
    <w:rsid w:val="002B3D0D"/>
    <w:rsid w:val="002C7C58"/>
    <w:rsid w:val="00306A94"/>
    <w:rsid w:val="00324797"/>
    <w:rsid w:val="00332A3A"/>
    <w:rsid w:val="00376316"/>
    <w:rsid w:val="00377099"/>
    <w:rsid w:val="00440348"/>
    <w:rsid w:val="004542E1"/>
    <w:rsid w:val="004642E7"/>
    <w:rsid w:val="00466DCB"/>
    <w:rsid w:val="004673DC"/>
    <w:rsid w:val="004F6F64"/>
    <w:rsid w:val="005C255C"/>
    <w:rsid w:val="00673AA1"/>
    <w:rsid w:val="006A54BC"/>
    <w:rsid w:val="006B5B64"/>
    <w:rsid w:val="00725EED"/>
    <w:rsid w:val="0077181E"/>
    <w:rsid w:val="007C574E"/>
    <w:rsid w:val="00852456"/>
    <w:rsid w:val="00854D56"/>
    <w:rsid w:val="00872C31"/>
    <w:rsid w:val="00930C2D"/>
    <w:rsid w:val="00984F41"/>
    <w:rsid w:val="009B1EFC"/>
    <w:rsid w:val="00A54386"/>
    <w:rsid w:val="00A574DA"/>
    <w:rsid w:val="00AB323F"/>
    <w:rsid w:val="00B0774E"/>
    <w:rsid w:val="00B42C4C"/>
    <w:rsid w:val="00BE1F2E"/>
    <w:rsid w:val="00BE59F6"/>
    <w:rsid w:val="00BF406E"/>
    <w:rsid w:val="00BF67AB"/>
    <w:rsid w:val="00C02690"/>
    <w:rsid w:val="00C05141"/>
    <w:rsid w:val="00C11393"/>
    <w:rsid w:val="00CA11A3"/>
    <w:rsid w:val="00CD4C97"/>
    <w:rsid w:val="00CE4CC6"/>
    <w:rsid w:val="00CE52E9"/>
    <w:rsid w:val="00D10755"/>
    <w:rsid w:val="00DB60BA"/>
    <w:rsid w:val="00DD38FB"/>
    <w:rsid w:val="00E236AF"/>
    <w:rsid w:val="00E26968"/>
    <w:rsid w:val="00E307EA"/>
    <w:rsid w:val="00E31470"/>
    <w:rsid w:val="00E31B3A"/>
    <w:rsid w:val="00EA43A9"/>
    <w:rsid w:val="00EE2909"/>
    <w:rsid w:val="00EF6E16"/>
    <w:rsid w:val="00F426F9"/>
    <w:rsid w:val="00F45927"/>
    <w:rsid w:val="00F91CAF"/>
    <w:rsid w:val="00F91FE6"/>
    <w:rsid w:val="00FB0F80"/>
    <w:rsid w:val="00FB5AB4"/>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06BB7"/>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145D5-9B80-4A1D-96A4-EA5E188F3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1288</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2021-12-09T08:42:00Z</dcterms:created>
  <dcterms:modified xsi:type="dcterms:W3CDTF">2021-12-09T08:42:00Z</dcterms:modified>
</cp:coreProperties>
</file>