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A38A" w14:textId="77777777" w:rsidR="00F91FE6" w:rsidRPr="001D33C2" w:rsidRDefault="00F91FE6" w:rsidP="00852456">
      <w:pPr>
        <w:jc w:val="both"/>
        <w:rPr>
          <w:b/>
          <w:u w:val="single"/>
        </w:rPr>
      </w:pPr>
      <w:r w:rsidRPr="001D33C2">
        <w:rPr>
          <w:b/>
          <w:u w:val="single"/>
        </w:rPr>
        <w:t xml:space="preserve">Heritage Team Response </w:t>
      </w:r>
    </w:p>
    <w:p w14:paraId="2FDE9E28" w14:textId="7A4F76EC" w:rsidR="00F91FE6" w:rsidRPr="001D33C2" w:rsidRDefault="00F91FE6" w:rsidP="00852456">
      <w:pPr>
        <w:jc w:val="both"/>
        <w:rPr>
          <w:b/>
          <w:u w:val="single"/>
        </w:rPr>
      </w:pPr>
      <w:r w:rsidRPr="001D33C2">
        <w:rPr>
          <w:b/>
          <w:u w:val="single"/>
        </w:rPr>
        <w:t xml:space="preserve">Date – </w:t>
      </w:r>
      <w:r w:rsidR="003A4DCF">
        <w:rPr>
          <w:b/>
          <w:u w:val="single"/>
        </w:rPr>
        <w:t>15/3</w:t>
      </w:r>
      <w:r w:rsidR="00A6131D" w:rsidRPr="001D33C2">
        <w:rPr>
          <w:b/>
          <w:u w:val="single"/>
        </w:rPr>
        <w:t>/2022</w:t>
      </w:r>
    </w:p>
    <w:p w14:paraId="0A6620C7" w14:textId="49C2CBBD" w:rsidR="00852456" w:rsidRPr="001D33C2" w:rsidRDefault="00E236AF" w:rsidP="00852456">
      <w:pPr>
        <w:jc w:val="both"/>
        <w:rPr>
          <w:b/>
          <w:u w:val="single"/>
        </w:rPr>
      </w:pPr>
      <w:r w:rsidRPr="001D33C2">
        <w:rPr>
          <w:b/>
          <w:u w:val="single"/>
        </w:rPr>
        <w:t>A</w:t>
      </w:r>
      <w:r w:rsidR="00852456" w:rsidRPr="001D33C2">
        <w:rPr>
          <w:b/>
          <w:u w:val="single"/>
        </w:rPr>
        <w:t>PP</w:t>
      </w:r>
      <w:r w:rsidR="00AB30AF">
        <w:rPr>
          <w:b/>
          <w:u w:val="single"/>
        </w:rPr>
        <w:t>/2</w:t>
      </w:r>
      <w:r w:rsidR="003A4DCF">
        <w:rPr>
          <w:b/>
          <w:u w:val="single"/>
        </w:rPr>
        <w:t xml:space="preserve">2/00112 – 33 High Street, </w:t>
      </w:r>
      <w:proofErr w:type="spellStart"/>
      <w:r w:rsidR="003A4DCF">
        <w:rPr>
          <w:b/>
          <w:u w:val="single"/>
        </w:rPr>
        <w:t>Emsworth</w:t>
      </w:r>
      <w:proofErr w:type="spellEnd"/>
      <w:r w:rsidR="003A4DCF">
        <w:rPr>
          <w:b/>
          <w:u w:val="single"/>
        </w:rPr>
        <w:t xml:space="preserve"> </w:t>
      </w:r>
      <w:r w:rsidR="00AB30AF">
        <w:rPr>
          <w:b/>
          <w:u w:val="single"/>
        </w:rPr>
        <w:t xml:space="preserve"> </w:t>
      </w:r>
      <w:r w:rsidR="00852456" w:rsidRPr="001D33C2">
        <w:rPr>
          <w:b/>
          <w:u w:val="single"/>
        </w:rPr>
        <w:t xml:space="preserve"> </w:t>
      </w:r>
    </w:p>
    <w:p w14:paraId="15A740CE" w14:textId="5AD56178" w:rsidR="00AB30AF" w:rsidRDefault="00A6131D" w:rsidP="00AB30AF">
      <w:pPr>
        <w:pStyle w:val="Normal0"/>
        <w:rPr>
          <w:rFonts w:asciiTheme="minorHAnsi" w:hAnsiTheme="minorHAnsi" w:cstheme="minorHAnsi"/>
          <w:sz w:val="22"/>
          <w:szCs w:val="22"/>
        </w:rPr>
      </w:pPr>
      <w:r w:rsidRPr="00AB30AF">
        <w:rPr>
          <w:rFonts w:asciiTheme="minorHAnsi" w:hAnsiTheme="minorHAnsi" w:cstheme="minorHAnsi"/>
          <w:b/>
          <w:sz w:val="22"/>
          <w:szCs w:val="22"/>
          <w:u w:val="single"/>
        </w:rPr>
        <w:t xml:space="preserve">Application proposal - </w:t>
      </w:r>
      <w:r w:rsidR="003A4DCF" w:rsidRPr="003A4DCF">
        <w:rPr>
          <w:rFonts w:asciiTheme="minorHAnsi" w:hAnsiTheme="minorHAnsi" w:cstheme="minorHAnsi"/>
          <w:color w:val="333333"/>
          <w:sz w:val="22"/>
          <w:szCs w:val="22"/>
          <w:shd w:val="clear" w:color="auto" w:fill="FFFFFF"/>
        </w:rPr>
        <w:t>Listed building consent for alterations to fenestration on side of property and installation of roof lights to existing roof</w:t>
      </w:r>
    </w:p>
    <w:p w14:paraId="06A71D6A" w14:textId="54202128" w:rsidR="00AB30AF" w:rsidRDefault="00AB30AF" w:rsidP="00AB30AF">
      <w:pPr>
        <w:pStyle w:val="Normal0"/>
        <w:rPr>
          <w:rFonts w:asciiTheme="minorHAnsi" w:hAnsiTheme="minorHAnsi" w:cstheme="minorHAnsi"/>
          <w:sz w:val="22"/>
          <w:szCs w:val="22"/>
        </w:rPr>
      </w:pPr>
    </w:p>
    <w:p w14:paraId="0B042745" w14:textId="78C65732" w:rsidR="00852456" w:rsidRPr="001D33C2" w:rsidRDefault="003A4DCF" w:rsidP="00852456">
      <w:pPr>
        <w:jc w:val="both"/>
        <w:rPr>
          <w:b/>
          <w:u w:val="single"/>
        </w:rPr>
      </w:pPr>
      <w:r>
        <w:rPr>
          <w:b/>
          <w:u w:val="single"/>
        </w:rPr>
        <w:t xml:space="preserve">Site: </w:t>
      </w:r>
    </w:p>
    <w:p w14:paraId="67A0D6BA" w14:textId="581B5509" w:rsidR="00031BD0" w:rsidRDefault="003A4DCF" w:rsidP="00852456">
      <w:pPr>
        <w:jc w:val="both"/>
      </w:pPr>
      <w:r>
        <w:t xml:space="preserve">The site </w:t>
      </w:r>
      <w:proofErr w:type="gramStart"/>
      <w:r>
        <w:t>is located in</w:t>
      </w:r>
      <w:proofErr w:type="gramEnd"/>
      <w:r>
        <w:t xml:space="preserve"> the High Street in </w:t>
      </w:r>
      <w:proofErr w:type="spellStart"/>
      <w:r>
        <w:t>Emsworth</w:t>
      </w:r>
      <w:proofErr w:type="spellEnd"/>
      <w:r>
        <w:t xml:space="preserve"> Town Centre and is within the </w:t>
      </w:r>
      <w:proofErr w:type="spellStart"/>
      <w:r>
        <w:t>Emsworth</w:t>
      </w:r>
      <w:proofErr w:type="spellEnd"/>
      <w:r>
        <w:t xml:space="preserve"> Conservation Area. The site comprises a two-storey terraced property which </w:t>
      </w:r>
      <w:proofErr w:type="gramStart"/>
      <w:r>
        <w:t>dates back to</w:t>
      </w:r>
      <w:proofErr w:type="gramEnd"/>
      <w:r>
        <w:t xml:space="preserve"> C19 and Grade II listed. It includes a modern extension at the rear.   </w:t>
      </w:r>
    </w:p>
    <w:p w14:paraId="6A192480" w14:textId="77777777" w:rsidR="00852456" w:rsidRPr="001D33C2" w:rsidRDefault="00852456" w:rsidP="00852456">
      <w:pPr>
        <w:jc w:val="both"/>
        <w:rPr>
          <w:b/>
          <w:u w:val="single"/>
        </w:rPr>
      </w:pPr>
      <w:r w:rsidRPr="001D33C2">
        <w:rPr>
          <w:b/>
          <w:u w:val="single"/>
        </w:rPr>
        <w:t xml:space="preserve">Legislative and Policy Context </w:t>
      </w:r>
    </w:p>
    <w:p w14:paraId="619A3AE8" w14:textId="77777777" w:rsidR="000D6036" w:rsidRPr="001D33C2" w:rsidRDefault="000D6036" w:rsidP="00852456">
      <w:pPr>
        <w:jc w:val="both"/>
      </w:pPr>
      <w:r w:rsidRPr="001D33C2">
        <w:t xml:space="preserve">When assessing the proposal, the following legislation and policy context is taken in consideration. </w:t>
      </w:r>
    </w:p>
    <w:p w14:paraId="74D2D282" w14:textId="13086301" w:rsidR="00852456" w:rsidRDefault="00852456" w:rsidP="00852456">
      <w:pPr>
        <w:jc w:val="both"/>
      </w:pPr>
      <w:r w:rsidRPr="001D33C2">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43CADA5B" w14:textId="5827A95A" w:rsidR="003A4DCF" w:rsidRPr="001D33C2" w:rsidRDefault="003A4DCF" w:rsidP="00852456">
      <w:pPr>
        <w:jc w:val="both"/>
      </w:pPr>
      <w:r>
        <w:rPr>
          <w:bCs/>
          <w:iCs/>
        </w:rPr>
        <w:t xml:space="preserve">As the site is within the CA, </w:t>
      </w:r>
      <w:r w:rsidRPr="00127552">
        <w:rPr>
          <w:bCs/>
          <w:iCs/>
        </w:rPr>
        <w:t xml:space="preserve">Section 72 of the Planning (Listed Buildings and Conservation Areas) Act 1990 </w:t>
      </w:r>
      <w:r>
        <w:rPr>
          <w:bCs/>
          <w:iCs/>
        </w:rPr>
        <w:t xml:space="preserve">is relevant. This </w:t>
      </w:r>
      <w:r w:rsidRPr="00127552">
        <w:rPr>
          <w:bCs/>
          <w:iCs/>
        </w:rPr>
        <w:t>requires planning authorities, when considering whether to grant planning permission for development which affects a Conservation Area, to have special regard to the desirability of preserving or enhancing the character and appearance of that area</w:t>
      </w:r>
    </w:p>
    <w:p w14:paraId="5543FAA3" w14:textId="4FAD84B7" w:rsidR="00226F17" w:rsidRPr="001D33C2" w:rsidRDefault="00226F17" w:rsidP="00226F17">
      <w:pPr>
        <w:jc w:val="both"/>
      </w:pPr>
      <w:r w:rsidRPr="001D33C2">
        <w:t>The revised NPPF (July 2021) sets out in Chapter 16, the core principles relating to development affecting Heritage Assets that local planning authorities should consider in making planning decisions</w:t>
      </w:r>
      <w:r w:rsidR="003A4DCF">
        <w:t xml:space="preserve">. </w:t>
      </w:r>
    </w:p>
    <w:p w14:paraId="7A084EF6" w14:textId="77777777" w:rsidR="00E31470" w:rsidRPr="001D33C2" w:rsidRDefault="00E31470" w:rsidP="00852456">
      <w:pPr>
        <w:jc w:val="both"/>
      </w:pPr>
      <w:r w:rsidRPr="001D33C2">
        <w:t xml:space="preserve">With regards to local planning policy, the following are relevant: </w:t>
      </w:r>
    </w:p>
    <w:p w14:paraId="2BCA2CD4" w14:textId="77777777" w:rsidR="00852456" w:rsidRPr="001D33C2" w:rsidRDefault="00852456" w:rsidP="00852456">
      <w:pPr>
        <w:jc w:val="both"/>
        <w:rPr>
          <w:bCs/>
        </w:rPr>
      </w:pPr>
      <w:r w:rsidRPr="001D33C2">
        <w:t xml:space="preserve">Policy CS11 of the Core Strategy states that </w:t>
      </w:r>
      <w:r w:rsidRPr="001D33C2">
        <w:rPr>
          <w:bCs/>
        </w:rPr>
        <w:t>planning permission will be granted for development that:</w:t>
      </w:r>
    </w:p>
    <w:p w14:paraId="0626856E" w14:textId="77777777" w:rsidR="00852456" w:rsidRPr="001D33C2" w:rsidRDefault="00852456" w:rsidP="00852456">
      <w:pPr>
        <w:jc w:val="both"/>
      </w:pPr>
      <w:r w:rsidRPr="001D33C2">
        <w:t xml:space="preserve">Protects and where appropriate enhances the borough’s statutory and </w:t>
      </w:r>
      <w:r w:rsidR="00E31470" w:rsidRPr="001D33C2">
        <w:t>non-statutory</w:t>
      </w:r>
      <w:r w:rsidRPr="001D33C2">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0ED97A39" w14:textId="77777777" w:rsidR="00852456" w:rsidRPr="001D33C2" w:rsidRDefault="00852456" w:rsidP="00852456">
      <w:pPr>
        <w:jc w:val="both"/>
      </w:pPr>
      <w:r w:rsidRPr="001D33C2">
        <w:t xml:space="preserve">Policy CP16 (1a) of the Core Strategy states Planning permission will be granted for development that is designed to a high standard, which helps to create places where people want to live, </w:t>
      </w:r>
      <w:proofErr w:type="gramStart"/>
      <w:r w:rsidRPr="001D33C2">
        <w:t>work</w:t>
      </w:r>
      <w:proofErr w:type="gramEnd"/>
      <w:r w:rsidRPr="001D33C2">
        <w:t xml:space="preserve"> and relax. All development should demonstrate that its design:</w:t>
      </w:r>
    </w:p>
    <w:p w14:paraId="48328518" w14:textId="77777777" w:rsidR="00852456" w:rsidRPr="001D33C2" w:rsidRDefault="00852456" w:rsidP="00E31B3A">
      <w:pPr>
        <w:jc w:val="both"/>
      </w:pPr>
      <w:r w:rsidRPr="001D33C2">
        <w:t xml:space="preserve">Identifies and responds positively to existing features of natural, </w:t>
      </w:r>
      <w:proofErr w:type="gramStart"/>
      <w:r w:rsidRPr="001D33C2">
        <w:t>historic</w:t>
      </w:r>
      <w:proofErr w:type="gramEnd"/>
      <w:r w:rsidRPr="001D33C2">
        <w:t xml:space="preserve"> or local character within or close to the proposed development site.</w:t>
      </w:r>
    </w:p>
    <w:p w14:paraId="5528BFE3" w14:textId="384EDA4B" w:rsidR="00852456" w:rsidRDefault="00852456" w:rsidP="00E31B3A">
      <w:pPr>
        <w:jc w:val="both"/>
      </w:pPr>
      <w:r w:rsidRPr="001D33C2">
        <w:t xml:space="preserve">Policy DM20 of the Allocations Plan states that development proposals must conserve and enhance the historic assets of Havant. </w:t>
      </w:r>
    </w:p>
    <w:p w14:paraId="18A2A7D7" w14:textId="77777777" w:rsidR="003A4DCF" w:rsidRPr="00673AA1" w:rsidRDefault="003A4DCF" w:rsidP="003A4DCF">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330DA186" w14:textId="77777777" w:rsidR="003A4DCF" w:rsidRPr="00673AA1" w:rsidRDefault="003A4DCF" w:rsidP="003A4DCF">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2CFA50EC" w14:textId="77777777" w:rsidR="003A4DCF" w:rsidRPr="00673AA1" w:rsidRDefault="003A4DCF" w:rsidP="003A4DCF">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9FF2CE7" w14:textId="77777777" w:rsidR="003A4DCF" w:rsidRPr="00673AA1" w:rsidRDefault="003A4DCF" w:rsidP="003A4DCF">
      <w:pPr>
        <w:autoSpaceDE w:val="0"/>
        <w:autoSpaceDN w:val="0"/>
        <w:adjustRightInd w:val="0"/>
        <w:spacing w:after="0" w:line="240" w:lineRule="auto"/>
        <w:rPr>
          <w:rFonts w:cs="Arial"/>
          <w:bCs/>
        </w:rPr>
      </w:pPr>
    </w:p>
    <w:p w14:paraId="6D6A521D" w14:textId="77777777" w:rsidR="003A4DCF" w:rsidRPr="00673AA1" w:rsidRDefault="003A4DCF" w:rsidP="003A4DCF">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22DD0538" w14:textId="77777777" w:rsidR="003A4DCF" w:rsidRPr="00673AA1" w:rsidRDefault="003A4DCF" w:rsidP="003A4DCF">
      <w:pPr>
        <w:autoSpaceDE w:val="0"/>
        <w:autoSpaceDN w:val="0"/>
        <w:adjustRightInd w:val="0"/>
        <w:spacing w:after="0" w:line="240" w:lineRule="auto"/>
        <w:rPr>
          <w:rFonts w:cs="Arial"/>
          <w:bCs/>
        </w:rPr>
      </w:pPr>
      <w:r w:rsidRPr="00673AA1">
        <w:rPr>
          <w:rFonts w:cs="Arial"/>
          <w:bCs/>
        </w:rPr>
        <w:lastRenderedPageBreak/>
        <w:t>proportionate to the impact and the significance of the heritage asset, including</w:t>
      </w:r>
    </w:p>
    <w:p w14:paraId="141DF15D" w14:textId="77777777" w:rsidR="003A4DCF" w:rsidRDefault="003A4DCF" w:rsidP="003A4DCF">
      <w:pPr>
        <w:rPr>
          <w:rFonts w:cs="Arial"/>
          <w:bCs/>
        </w:rPr>
      </w:pPr>
      <w:r w:rsidRPr="00673AA1">
        <w:rPr>
          <w:rFonts w:cs="Arial"/>
          <w:bCs/>
        </w:rPr>
        <w:t>where possible positive opportunities to conserve and enjoy heritage assets.</w:t>
      </w:r>
    </w:p>
    <w:p w14:paraId="5BC14337" w14:textId="77777777" w:rsidR="003A4DCF" w:rsidRDefault="003A4DCF" w:rsidP="003A4DCF">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14:paraId="203C8B4B" w14:textId="77777777" w:rsidR="003A4DCF" w:rsidRDefault="003A4DCF" w:rsidP="003A4DCF">
      <w:pPr>
        <w:jc w:val="both"/>
      </w:pPr>
      <w:r>
        <w:t xml:space="preserve">The </w:t>
      </w:r>
      <w:proofErr w:type="spellStart"/>
      <w:r>
        <w:t>Emsworth</w:t>
      </w:r>
      <w:proofErr w:type="spellEnd"/>
      <w:r>
        <w:t xml:space="preserve"> Neighbourhood Plan has now been adopted and has relevant policies which are applicable to this application: </w:t>
      </w:r>
    </w:p>
    <w:p w14:paraId="4DB88ED1" w14:textId="77777777" w:rsidR="003A4DCF" w:rsidRDefault="003A4DCF" w:rsidP="003A4DCF">
      <w:pPr>
        <w:jc w:val="both"/>
      </w:pPr>
      <w:r>
        <w:t xml:space="preserve">Policy H1 – Design and Heritage </w:t>
      </w:r>
    </w:p>
    <w:p w14:paraId="44194617" w14:textId="424C82C1" w:rsidR="003A4DCF" w:rsidRPr="001D33C2" w:rsidRDefault="003A4DCF" w:rsidP="00E31B3A">
      <w:pPr>
        <w:jc w:val="both"/>
      </w:pPr>
      <w:r>
        <w:t xml:space="preserve">Policy H2 – Heritage Appraisals </w:t>
      </w:r>
    </w:p>
    <w:p w14:paraId="27D8E41D" w14:textId="4E0C4DA3" w:rsidR="00FB6BE3" w:rsidRPr="001D33C2" w:rsidRDefault="00FB6BE3" w:rsidP="00FB6BE3">
      <w:pPr>
        <w:pStyle w:val="Default"/>
        <w:rPr>
          <w:b/>
          <w:sz w:val="22"/>
          <w:szCs w:val="22"/>
          <w:u w:val="single"/>
        </w:rPr>
      </w:pPr>
      <w:r w:rsidRPr="001D33C2">
        <w:rPr>
          <w:b/>
          <w:sz w:val="22"/>
          <w:szCs w:val="22"/>
          <w:u w:val="single"/>
        </w:rPr>
        <w:t>Assessment</w:t>
      </w:r>
      <w:r>
        <w:rPr>
          <w:b/>
          <w:sz w:val="22"/>
          <w:szCs w:val="22"/>
          <w:u w:val="single"/>
        </w:rPr>
        <w:t xml:space="preserve">: </w:t>
      </w:r>
    </w:p>
    <w:p w14:paraId="52A78819" w14:textId="77777777" w:rsidR="00FB6BE3" w:rsidRDefault="00FB6BE3" w:rsidP="00226F17">
      <w:pPr>
        <w:pStyle w:val="Default"/>
        <w:jc w:val="both"/>
        <w:rPr>
          <w:sz w:val="22"/>
          <w:szCs w:val="22"/>
        </w:rPr>
      </w:pPr>
    </w:p>
    <w:p w14:paraId="7C440075" w14:textId="105C656D" w:rsidR="00FB6BE3" w:rsidRDefault="003A4DCF" w:rsidP="00226F17">
      <w:pPr>
        <w:pStyle w:val="Default"/>
        <w:jc w:val="both"/>
        <w:rPr>
          <w:sz w:val="22"/>
          <w:szCs w:val="22"/>
        </w:rPr>
      </w:pPr>
      <w:r>
        <w:rPr>
          <w:sz w:val="22"/>
          <w:szCs w:val="22"/>
        </w:rPr>
        <w:t xml:space="preserve">The proposal relates to the change in fenestration in the rear, more modern section of the building. These includes changing doors for windows and vice versa. It is also </w:t>
      </w:r>
      <w:proofErr w:type="gramStart"/>
      <w:r>
        <w:rPr>
          <w:sz w:val="22"/>
          <w:szCs w:val="22"/>
        </w:rPr>
        <w:t>includes</w:t>
      </w:r>
      <w:proofErr w:type="gramEnd"/>
      <w:r>
        <w:rPr>
          <w:sz w:val="22"/>
          <w:szCs w:val="22"/>
        </w:rPr>
        <w:t xml:space="preserve"> the insertion of 2no. roof light windows in the single storey extension. The existing windows / doors are </w:t>
      </w:r>
      <w:proofErr w:type="spellStart"/>
      <w:r>
        <w:rPr>
          <w:sz w:val="22"/>
          <w:szCs w:val="22"/>
        </w:rPr>
        <w:t>UPVc</w:t>
      </w:r>
      <w:proofErr w:type="spellEnd"/>
      <w:r>
        <w:rPr>
          <w:sz w:val="22"/>
          <w:szCs w:val="22"/>
        </w:rPr>
        <w:t xml:space="preserve">, double glazed and the replacements would be of a similar design. Whilst wooden framed, single glazing is preferred, it is recognised that this is a modern extension which already has such fenestration within it. </w:t>
      </w:r>
    </w:p>
    <w:p w14:paraId="63AF073F" w14:textId="4CB5E96E" w:rsidR="003A4DCF" w:rsidRDefault="003A4DCF" w:rsidP="00226F17">
      <w:pPr>
        <w:pStyle w:val="Default"/>
        <w:jc w:val="both"/>
        <w:rPr>
          <w:sz w:val="22"/>
          <w:szCs w:val="22"/>
        </w:rPr>
      </w:pPr>
    </w:p>
    <w:p w14:paraId="79C9103A" w14:textId="3B985BD0" w:rsidR="003A4DCF" w:rsidRDefault="003A4DCF" w:rsidP="00226F17">
      <w:pPr>
        <w:pStyle w:val="Default"/>
        <w:jc w:val="both"/>
        <w:rPr>
          <w:sz w:val="22"/>
          <w:szCs w:val="22"/>
        </w:rPr>
      </w:pPr>
      <w:r>
        <w:rPr>
          <w:sz w:val="22"/>
          <w:szCs w:val="22"/>
        </w:rPr>
        <w:t xml:space="preserve">On balance therefore, the proposal is considered to result in negligible harm to the designated hertiage asset and would not be visible from the streestcene. </w:t>
      </w:r>
    </w:p>
    <w:p w14:paraId="2066C66A" w14:textId="21D695AB" w:rsidR="00B26065" w:rsidRDefault="00B26065" w:rsidP="00E31B3A">
      <w:pPr>
        <w:pStyle w:val="Default"/>
        <w:jc w:val="both"/>
        <w:rPr>
          <w:sz w:val="22"/>
          <w:szCs w:val="22"/>
        </w:rPr>
      </w:pPr>
    </w:p>
    <w:p w14:paraId="40388DB3" w14:textId="3F324751" w:rsidR="00B26065" w:rsidRDefault="00B26065" w:rsidP="00E31B3A">
      <w:pPr>
        <w:pStyle w:val="Default"/>
        <w:jc w:val="both"/>
        <w:rPr>
          <w:b/>
          <w:bCs/>
          <w:sz w:val="22"/>
          <w:szCs w:val="22"/>
          <w:u w:val="single"/>
        </w:rPr>
      </w:pPr>
      <w:r w:rsidRPr="0031660A">
        <w:rPr>
          <w:b/>
          <w:bCs/>
          <w:sz w:val="22"/>
          <w:szCs w:val="22"/>
          <w:u w:val="single"/>
        </w:rPr>
        <w:t xml:space="preserve">Conclusion </w:t>
      </w:r>
    </w:p>
    <w:p w14:paraId="06E6C4D2" w14:textId="5E197053" w:rsidR="003A4DCF" w:rsidRDefault="003A4DCF" w:rsidP="00E31B3A">
      <w:pPr>
        <w:pStyle w:val="Default"/>
        <w:jc w:val="both"/>
        <w:rPr>
          <w:b/>
          <w:bCs/>
          <w:sz w:val="22"/>
          <w:szCs w:val="22"/>
          <w:u w:val="single"/>
        </w:rPr>
      </w:pPr>
    </w:p>
    <w:p w14:paraId="10F6F74C" w14:textId="58024232" w:rsidR="003A4DCF" w:rsidRPr="003A4DCF" w:rsidRDefault="003A4DCF" w:rsidP="00E31B3A">
      <w:pPr>
        <w:pStyle w:val="Default"/>
        <w:jc w:val="both"/>
        <w:rPr>
          <w:sz w:val="22"/>
          <w:szCs w:val="22"/>
        </w:rPr>
      </w:pPr>
      <w:r w:rsidRPr="003A4DCF">
        <w:rPr>
          <w:sz w:val="22"/>
          <w:szCs w:val="22"/>
        </w:rPr>
        <w:t>No objection</w:t>
      </w:r>
      <w:r>
        <w:rPr>
          <w:sz w:val="22"/>
          <w:szCs w:val="22"/>
        </w:rPr>
        <w:t xml:space="preserve">. </w:t>
      </w:r>
    </w:p>
    <w:p w14:paraId="066BDC96" w14:textId="72FA18C4" w:rsidR="0031660A" w:rsidRDefault="0031660A" w:rsidP="00E31B3A">
      <w:pPr>
        <w:pStyle w:val="Default"/>
        <w:jc w:val="both"/>
        <w:rPr>
          <w:b/>
          <w:bCs/>
          <w:sz w:val="22"/>
          <w:szCs w:val="22"/>
        </w:rPr>
      </w:pPr>
    </w:p>
    <w:p w14:paraId="37705360" w14:textId="461CBE46" w:rsidR="0031660A" w:rsidRDefault="0031660A">
      <w:r>
        <w:t xml:space="preserve">R. McMurray </w:t>
      </w:r>
    </w:p>
    <w:p w14:paraId="618979CB" w14:textId="0C8A3FA6" w:rsidR="0031660A" w:rsidRPr="001D33C2" w:rsidRDefault="003A4DCF">
      <w:r>
        <w:t>15/3</w:t>
      </w:r>
      <w:r w:rsidR="0031660A">
        <w:t>/2022</w:t>
      </w:r>
    </w:p>
    <w:sectPr w:rsidR="0031660A" w:rsidRPr="001D33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6F0C53"/>
    <w:multiLevelType w:val="hybridMultilevel"/>
    <w:tmpl w:val="23840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BD0"/>
    <w:rsid w:val="000D155D"/>
    <w:rsid w:val="000D6036"/>
    <w:rsid w:val="000F38F0"/>
    <w:rsid w:val="00184574"/>
    <w:rsid w:val="001D33C2"/>
    <w:rsid w:val="00226F17"/>
    <w:rsid w:val="00280006"/>
    <w:rsid w:val="002C7A53"/>
    <w:rsid w:val="0031660A"/>
    <w:rsid w:val="00332A3A"/>
    <w:rsid w:val="00376316"/>
    <w:rsid w:val="003A4DCF"/>
    <w:rsid w:val="003A710E"/>
    <w:rsid w:val="00440348"/>
    <w:rsid w:val="004542E1"/>
    <w:rsid w:val="004E7BAD"/>
    <w:rsid w:val="004F6F64"/>
    <w:rsid w:val="0055197C"/>
    <w:rsid w:val="00677F86"/>
    <w:rsid w:val="00687C7A"/>
    <w:rsid w:val="006A54BC"/>
    <w:rsid w:val="0070477B"/>
    <w:rsid w:val="00783751"/>
    <w:rsid w:val="007A12B1"/>
    <w:rsid w:val="00852456"/>
    <w:rsid w:val="00930C2D"/>
    <w:rsid w:val="00967545"/>
    <w:rsid w:val="00984F41"/>
    <w:rsid w:val="009E33DA"/>
    <w:rsid w:val="00A54386"/>
    <w:rsid w:val="00A6131D"/>
    <w:rsid w:val="00AB30AF"/>
    <w:rsid w:val="00AB323F"/>
    <w:rsid w:val="00AC2B7F"/>
    <w:rsid w:val="00AF0CB5"/>
    <w:rsid w:val="00B26065"/>
    <w:rsid w:val="00B42C4C"/>
    <w:rsid w:val="00BE59F6"/>
    <w:rsid w:val="00BF67AB"/>
    <w:rsid w:val="00C05141"/>
    <w:rsid w:val="00C15FE9"/>
    <w:rsid w:val="00CA11A3"/>
    <w:rsid w:val="00D10755"/>
    <w:rsid w:val="00E236AF"/>
    <w:rsid w:val="00E307EA"/>
    <w:rsid w:val="00E31470"/>
    <w:rsid w:val="00E31B3A"/>
    <w:rsid w:val="00E52F00"/>
    <w:rsid w:val="00E86C2E"/>
    <w:rsid w:val="00F520C1"/>
    <w:rsid w:val="00F91CAF"/>
    <w:rsid w:val="00F91FE6"/>
    <w:rsid w:val="00FB6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FB65"/>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AF0CB5"/>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87427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2022-03-15T16:43:00Z</dcterms:created>
  <dcterms:modified xsi:type="dcterms:W3CDTF">2022-03-15T16:43:00Z</dcterms:modified>
</cp:coreProperties>
</file>