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39DFE" w14:textId="00B528CB" w:rsidR="00470F24" w:rsidRDefault="00FF79EC" w:rsidP="00B35C8A">
      <w:pPr>
        <w:autoSpaceDE w:val="0"/>
        <w:autoSpaceDN w:val="0"/>
        <w:adjustRightInd w:val="0"/>
        <w:spacing w:after="0" w:line="240" w:lineRule="auto"/>
        <w:rPr>
          <w:rFonts w:ascii="ArialMT" w:eastAsia="ArialMT"/>
          <w:b/>
          <w:color w:val="000000"/>
        </w:rPr>
      </w:pPr>
      <w:r w:rsidRPr="00FF79EC">
        <w:rPr>
          <w:rStyle w:val="fontstyle21"/>
          <w:rFonts w:ascii="Arial" w:hAnsi="Arial" w:cs="Arial"/>
          <w:b/>
        </w:rPr>
        <w:t>APP/2</w:t>
      </w:r>
      <w:r w:rsidR="00CC245B">
        <w:rPr>
          <w:rStyle w:val="fontstyle21"/>
          <w:rFonts w:ascii="Arial" w:hAnsi="Arial" w:cs="Arial"/>
          <w:b/>
        </w:rPr>
        <w:t>1/0135</w:t>
      </w:r>
      <w:r w:rsidR="00D638A6">
        <w:rPr>
          <w:rStyle w:val="fontstyle21"/>
          <w:rFonts w:ascii="Arial" w:hAnsi="Arial" w:cs="Arial"/>
          <w:b/>
        </w:rPr>
        <w:t>0</w:t>
      </w:r>
      <w:r w:rsidRPr="00FF79EC">
        <w:rPr>
          <w:rStyle w:val="fontstyle21"/>
          <w:rFonts w:ascii="Arial" w:hAnsi="Arial" w:cs="Arial"/>
          <w:b/>
        </w:rPr>
        <w:t xml:space="preserve"> </w:t>
      </w:r>
      <w:r w:rsidR="00D638A6" w:rsidRPr="00D638A6">
        <w:rPr>
          <w:rFonts w:ascii="ArialMT" w:eastAsia="ArialMT"/>
          <w:b/>
          <w:bCs/>
          <w:color w:val="000000"/>
        </w:rPr>
        <w:t>Land north of Oysters, Station Road, Hayling Island</w:t>
      </w:r>
    </w:p>
    <w:p w14:paraId="03BDDA6E" w14:textId="77777777" w:rsidR="00CC245B" w:rsidRDefault="00CC245B" w:rsidP="00B35C8A">
      <w:pPr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</w:rPr>
      </w:pPr>
    </w:p>
    <w:p w14:paraId="642E04D8" w14:textId="4A2090E5" w:rsidR="00D638A6" w:rsidRPr="00D638A6" w:rsidRDefault="00D638A6" w:rsidP="008C6592">
      <w:pPr>
        <w:rPr>
          <w:rFonts w:ascii="Arial" w:hAnsi="Arial" w:cs="Arial"/>
        </w:rPr>
      </w:pPr>
      <w:r w:rsidRPr="00D638A6">
        <w:rPr>
          <w:rFonts w:ascii="Arial" w:eastAsia="ArialMT" w:hAnsi="Arial" w:cs="Arial"/>
          <w:color w:val="000000"/>
        </w:rPr>
        <w:t>Outline application for erection of up to 29 dwelling units and associated</w:t>
      </w:r>
      <w:r>
        <w:rPr>
          <w:rFonts w:ascii="Arial" w:eastAsia="ArialMT" w:hAnsi="Arial" w:cs="Arial"/>
          <w:color w:val="000000"/>
        </w:rPr>
        <w:t xml:space="preserve"> </w:t>
      </w:r>
      <w:r w:rsidRPr="00D638A6">
        <w:rPr>
          <w:rFonts w:ascii="Arial" w:eastAsia="ArialMT" w:hAnsi="Arial" w:cs="Arial"/>
          <w:color w:val="000000"/>
        </w:rPr>
        <w:t>highway works with all other matters reserved</w:t>
      </w:r>
      <w:r w:rsidRPr="00D638A6">
        <w:rPr>
          <w:rFonts w:ascii="Arial" w:hAnsi="Arial" w:cs="Arial"/>
        </w:rPr>
        <w:t xml:space="preserve"> </w:t>
      </w:r>
    </w:p>
    <w:p w14:paraId="068097ED" w14:textId="363D2E82" w:rsidR="008C6592" w:rsidRPr="00A51637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3279ACAB" w:rsidR="005B56A3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699BDE0" w14:textId="77777777" w:rsidR="00B2573B" w:rsidRPr="009F2A52" w:rsidRDefault="00B2573B" w:rsidP="00B257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F2A52">
        <w:rPr>
          <w:rFonts w:ascii="Arial" w:hAnsi="Arial" w:cs="Arial"/>
        </w:rPr>
        <w:t xml:space="preserve">This application is not CIL </w:t>
      </w:r>
      <w:r>
        <w:rPr>
          <w:rFonts w:ascii="Arial" w:hAnsi="Arial" w:cs="Arial"/>
        </w:rPr>
        <w:t>l</w:t>
      </w:r>
      <w:r w:rsidRPr="009F2A52">
        <w:rPr>
          <w:rFonts w:ascii="Arial" w:hAnsi="Arial" w:cs="Arial"/>
        </w:rPr>
        <w:t>iable</w:t>
      </w:r>
      <w:r>
        <w:rPr>
          <w:rFonts w:ascii="Arial" w:hAnsi="Arial" w:cs="Arial"/>
        </w:rPr>
        <w:t>,</w:t>
      </w:r>
      <w:r w:rsidRPr="009F2A52">
        <w:rPr>
          <w:rFonts w:ascii="Arial" w:hAnsi="Arial" w:cs="Arial"/>
        </w:rPr>
        <w:t xml:space="preserve"> but any subsequent full or reserved matters application would be.</w:t>
      </w:r>
    </w:p>
    <w:p w14:paraId="3316241A" w14:textId="77777777" w:rsidR="00B2573B" w:rsidRPr="00113F93" w:rsidRDefault="00B2573B" w:rsidP="00B257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373B83B" w14:textId="77777777" w:rsidR="00B2573B" w:rsidRPr="00113F93" w:rsidRDefault="00B2573B" w:rsidP="00B2573B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CIL rate is set out in our Charging Schedule: </w:t>
      </w:r>
      <w:hyperlink r:id="rId5" w:history="1">
        <w:r w:rsidRPr="00113F93"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396FB7E1" w14:textId="77777777" w:rsidR="00B2573B" w:rsidRDefault="00B2573B" w:rsidP="00B2573B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0DEE03BD" w14:textId="77777777" w:rsidR="00B2573B" w:rsidRDefault="00B2573B" w:rsidP="00B2573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subsequent application would need to be accompanied by:</w:t>
      </w:r>
    </w:p>
    <w:p w14:paraId="7F122AB2" w14:textId="716D7116" w:rsidR="00B2573B" w:rsidRPr="00FC370C" w:rsidRDefault="00B2573B" w:rsidP="00B2573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>CIL Form 1: CIL Additional Information</w:t>
      </w:r>
      <w:r w:rsidR="008058E1">
        <w:rPr>
          <w:rFonts w:ascii="Arial" w:hAnsi="Arial" w:cs="Arial"/>
        </w:rPr>
        <w:t xml:space="preserve"> (and Schedule of Accommodation to support figures provided)</w:t>
      </w:r>
      <w:r w:rsidR="008058E1">
        <w:rPr>
          <w:rFonts w:ascii="Arial" w:hAnsi="Arial" w:cs="Arial"/>
        </w:rPr>
        <w:tab/>
      </w:r>
      <w:r w:rsidR="008058E1">
        <w:rPr>
          <w:rFonts w:ascii="Arial" w:hAnsi="Arial" w:cs="Arial"/>
        </w:rPr>
        <w:tab/>
      </w:r>
    </w:p>
    <w:p w14:paraId="76FCE1FA" w14:textId="77777777" w:rsidR="00B2573B" w:rsidRPr="00FC370C" w:rsidRDefault="00B2573B" w:rsidP="00B2573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 xml:space="preserve">CIL Form 2: Assumption of Liability </w:t>
      </w:r>
    </w:p>
    <w:p w14:paraId="5E7622A3" w14:textId="77777777" w:rsidR="00B2573B" w:rsidRPr="00FC370C" w:rsidRDefault="00B2573B" w:rsidP="00B2573B">
      <w:pPr>
        <w:pStyle w:val="ListParagraph"/>
        <w:numPr>
          <w:ilvl w:val="0"/>
          <w:numId w:val="2"/>
        </w:numPr>
        <w:rPr>
          <w:rFonts w:ascii="Arial" w:hAnsi="Arial" w:cs="Arial"/>
          <w:u w:val="single"/>
        </w:rPr>
      </w:pPr>
      <w:r w:rsidRPr="00FC370C">
        <w:rPr>
          <w:rFonts w:ascii="Arial" w:hAnsi="Arial" w:cs="Arial"/>
        </w:rPr>
        <w:t>Form 10: Charitable and/or Social Housing Relief Claim Form</w:t>
      </w:r>
    </w:p>
    <w:p w14:paraId="751BB9ED" w14:textId="113CA47E" w:rsidR="00B2573B" w:rsidRDefault="00B2573B" w:rsidP="00B2573B">
      <w:r w:rsidRPr="00FC370C">
        <w:rPr>
          <w:rFonts w:ascii="Arial" w:hAnsi="Arial" w:cs="Arial"/>
        </w:rPr>
        <w:t>Further information on CIL including relief in respect of affordable housing can be found on the Planning Portal</w:t>
      </w:r>
      <w:r w:rsidR="00D93A57">
        <w:rPr>
          <w:rStyle w:val="Hyperlink"/>
          <w:rFonts w:ascii="Arial" w:hAnsi="Arial" w:cs="Arial"/>
          <w:color w:val="auto"/>
          <w:u w:val="none"/>
        </w:rPr>
        <w:t xml:space="preserve">: </w:t>
      </w:r>
      <w:hyperlink r:id="rId6" w:history="1">
        <w:r w:rsidR="00D93A57" w:rsidRPr="00D93A57">
          <w:rPr>
            <w:rStyle w:val="Hyperlink"/>
            <w:rFonts w:ascii="Arial" w:hAnsi="Arial" w:cs="Arial"/>
          </w:rPr>
          <w:t>https://www.planningportal.co.uk/planning/policy-and-legislation/CIL/relief-exemption-and-phase-credits</w:t>
        </w:r>
      </w:hyperlink>
    </w:p>
    <w:p w14:paraId="26944938" w14:textId="60E3EE72" w:rsidR="00AF57BE" w:rsidRP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0A90B5F0" w:rsidR="005B56A3" w:rsidRPr="00AE37F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37F0">
        <w:rPr>
          <w:rFonts w:ascii="Arial" w:hAnsi="Arial" w:cs="Arial"/>
        </w:rPr>
        <w:t>Subject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760D6DC0" w14:textId="77777777" w:rsidR="006D5554" w:rsidRPr="00B81B00" w:rsidRDefault="006D5554" w:rsidP="006D5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C38495F" w14:textId="77777777" w:rsidR="006D5554" w:rsidRPr="00B81B00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1663ADA3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0908FDE4" w14:textId="77777777" w:rsidR="006D5554" w:rsidRPr="00B5683D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3900C5BB" w14:textId="77777777" w:rsidR="006D5554" w:rsidRPr="008D0653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 and Management Plan (may include SUDS)</w:t>
      </w:r>
    </w:p>
    <w:p w14:paraId="6DAE6FB9" w14:textId="0C438636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</w:t>
      </w:r>
      <w:r w:rsidR="00E57073">
        <w:rPr>
          <w:rFonts w:ascii="Arial" w:hAnsi="Arial" w:cs="Arial"/>
        </w:rPr>
        <w:t>**</w:t>
      </w:r>
    </w:p>
    <w:p w14:paraId="5800EF69" w14:textId="17A848FF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Nutrient </w:t>
      </w:r>
      <w:r w:rsidRPr="00203F2A">
        <w:rPr>
          <w:rFonts w:ascii="Arial" w:hAnsi="Arial" w:cs="Arial"/>
        </w:rPr>
        <w:t xml:space="preserve">Neutrality, if it is not possible to fully mitigate the scheme’s impact on site, the applicant will need to find a mitigation scheme. The details of schemes have been published on the Partnership for South Hampshire’s website at </w:t>
      </w:r>
      <w:hyperlink r:id="rId7" w:history="1">
        <w:r w:rsidRPr="00203F2A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</w:p>
    <w:p w14:paraId="36ED7BDE" w14:textId="6604DD92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63B50AD9" w14:textId="7AE0DD7A" w:rsidR="00720207" w:rsidRPr="00AB7C9F" w:rsidRDefault="00720207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B7C9F">
        <w:rPr>
          <w:rFonts w:ascii="Arial" w:hAnsi="Arial" w:cs="Arial"/>
        </w:rPr>
        <w:t>Solent Waders and Brent Goose Strategy Mitigation</w:t>
      </w:r>
    </w:p>
    <w:p w14:paraId="4FB5BCA1" w14:textId="502B019B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 (</w:t>
      </w:r>
      <w:r w:rsidR="003E7F7C">
        <w:rPr>
          <w:rFonts w:ascii="Arial" w:hAnsi="Arial" w:cs="Arial"/>
        </w:rPr>
        <w:t>H</w:t>
      </w:r>
      <w:r w:rsidR="003E7F7C">
        <w:rPr>
          <w:rFonts w:ascii="Arial" w:hAnsi="Arial" w:cs="Arial"/>
        </w:rPr>
        <w:t>ousing Delivery Position Statement DMP 5 – Development Quality</w:t>
      </w:r>
      <w:r w:rsidR="003E7F7C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>payment due on commencement</w:t>
      </w:r>
    </w:p>
    <w:p w14:paraId="4138696B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71AB0FA5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4A843097" w14:textId="77777777" w:rsidR="006D5554" w:rsidRDefault="006D5554" w:rsidP="006D555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 arising out of consultee responses</w:t>
      </w: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B97E62D" w14:textId="77777777" w:rsidR="000E51C0" w:rsidRPr="00EF73B1" w:rsidRDefault="000E51C0" w:rsidP="000E51C0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5D6603F1" w14:textId="77777777" w:rsidR="000E51C0" w:rsidRPr="00EF73B1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8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2DB22C36" w14:textId="77777777" w:rsidR="000E51C0" w:rsidRPr="001B5EE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2756F088" w14:textId="494C77C0" w:rsidR="000E51C0" w:rsidRPr="001B5EE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 w:rsidR="00284A8A"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>The amended CIL Regulations effective 1/9/19 regularise the collection of S106 monitoring fees. We have an agreed schedule of charges</w:t>
      </w:r>
      <w:r w:rsidR="007F3F7C" w:rsidRPr="001B5EE6">
        <w:rPr>
          <w:rFonts w:ascii="Arial" w:hAnsi="Arial" w:cs="Arial"/>
        </w:rPr>
        <w:t>, due to be updated 1/4/2</w:t>
      </w:r>
      <w:r w:rsidR="001B5EE6" w:rsidRPr="001B5EE6">
        <w:rPr>
          <w:rFonts w:ascii="Arial" w:hAnsi="Arial" w:cs="Arial"/>
        </w:rPr>
        <w:t xml:space="preserve">3: </w:t>
      </w:r>
    </w:p>
    <w:p w14:paraId="717FBED6" w14:textId="77777777" w:rsidR="001B5EE6" w:rsidRPr="001B5EE6" w:rsidRDefault="001B5EE6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B66248" w14:textId="77777777" w:rsidR="001B5EE6" w:rsidRPr="001B5EE6" w:rsidRDefault="001B5EE6" w:rsidP="001B5E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b/>
          <w:bCs/>
          <w:color w:val="000000"/>
          <w:lang w:eastAsia="en-GB"/>
        </w:rPr>
        <w:t>From 1 April 2022</w:t>
      </w:r>
    </w:p>
    <w:p w14:paraId="59E55034" w14:textId="77777777" w:rsidR="001B5EE6" w:rsidRPr="001B5EE6" w:rsidRDefault="001B5EE6" w:rsidP="001B5E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£798.00 per non-financial head of term (outside the scope of VAT)</w:t>
      </w:r>
    </w:p>
    <w:p w14:paraId="4D42B208" w14:textId="77777777" w:rsidR="001B5EE6" w:rsidRPr="001B5EE6" w:rsidRDefault="001B5EE6" w:rsidP="001B5E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5% of cost per financial head of term (outside the scope of VAT)</w:t>
      </w:r>
    </w:p>
    <w:p w14:paraId="12B4C044" w14:textId="393E0B0A" w:rsidR="001B5EE6" w:rsidRPr="001B5EE6" w:rsidRDefault="001B5EE6" w:rsidP="001B5E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 xml:space="preserve">Monitoring fee is capped at a maximum of £11,525 per application. This cap only applies to major applications (up to 250 Homes) without long term ecological management which may </w:t>
      </w:r>
      <w:r w:rsidR="00E16D07">
        <w:rPr>
          <w:rFonts w:ascii="Arial" w:eastAsia="Times New Roman" w:hAnsi="Arial" w:cs="Arial"/>
          <w:color w:val="000000"/>
          <w:lang w:eastAsia="en-GB"/>
        </w:rPr>
        <w:t xml:space="preserve">also </w:t>
      </w:r>
      <w:r w:rsidRPr="001B5EE6">
        <w:rPr>
          <w:rFonts w:ascii="Arial" w:eastAsia="Times New Roman" w:hAnsi="Arial" w:cs="Arial"/>
          <w:color w:val="000000"/>
          <w:lang w:eastAsia="en-GB"/>
        </w:rPr>
        <w:t>be subject to separate negotiation.</w:t>
      </w:r>
    </w:p>
    <w:p w14:paraId="053FAD25" w14:textId="77777777" w:rsidR="001B5EE6" w:rsidRDefault="001B5EE6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7B9D5C" w14:textId="59D19C78" w:rsidR="00B01433" w:rsidRPr="00BA5ACD" w:rsidRDefault="005B56A3" w:rsidP="00B014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B01433">
        <w:rPr>
          <w:rFonts w:ascii="Arial" w:hAnsi="Arial" w:cs="Arial"/>
          <w:b/>
        </w:rPr>
        <w:t>**</w:t>
      </w:r>
      <w:r w:rsidR="00B01433" w:rsidRPr="00BA5ACD">
        <w:rPr>
          <w:rFonts w:ascii="Arial" w:hAnsi="Arial" w:cs="Arial"/>
          <w:b/>
        </w:rPr>
        <w:t>Solent Recreation Mitigation Strategy</w:t>
      </w:r>
    </w:p>
    <w:p w14:paraId="4550CA15" w14:textId="6EECA18A" w:rsidR="00B01433" w:rsidRDefault="00B01433" w:rsidP="00B01433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charges updated 1/4/2</w:t>
      </w:r>
      <w:r w:rsidR="001B5EE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 xml:space="preserve">number of </w:t>
      </w:r>
      <w:r w:rsidR="00E57073" w:rsidRPr="00E57073">
        <w:rPr>
          <w:rFonts w:ascii="Arial" w:hAnsi="Arial" w:cs="Arial"/>
          <w:b/>
          <w:bCs/>
        </w:rPr>
        <w:t>net</w:t>
      </w:r>
      <w:r w:rsidR="00E57073">
        <w:rPr>
          <w:rFonts w:ascii="Arial" w:hAnsi="Arial" w:cs="Arial"/>
        </w:rPr>
        <w:t xml:space="preserve"> new </w:t>
      </w:r>
      <w:r w:rsidRPr="00985E1B">
        <w:rPr>
          <w:rFonts w:ascii="Arial" w:hAnsi="Arial" w:cs="Arial"/>
        </w:rPr>
        <w:t>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contribution will be indexed (RPI), these rates will be updated 1/4/2</w:t>
      </w:r>
      <w:r w:rsidR="001B5EE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: </w:t>
      </w:r>
      <w:hyperlink r:id="rId9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087E9C" w:rsidRPr="00167782" w14:paraId="0419D57C" w14:textId="77777777" w:rsidTr="00A947CB">
        <w:trPr>
          <w:trHeight w:val="542"/>
          <w:jc w:val="center"/>
        </w:trPr>
        <w:tc>
          <w:tcPr>
            <w:tcW w:w="2222" w:type="dxa"/>
          </w:tcPr>
          <w:p w14:paraId="378CB561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2C171B3D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0D7CB434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087E9C" w:rsidRPr="00167782" w14:paraId="3A3C1BD8" w14:textId="77777777" w:rsidTr="00A947CB">
        <w:trPr>
          <w:trHeight w:val="451"/>
          <w:jc w:val="center"/>
        </w:trPr>
        <w:tc>
          <w:tcPr>
            <w:tcW w:w="2222" w:type="dxa"/>
          </w:tcPr>
          <w:p w14:paraId="6E1F9810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4D19897C" w14:textId="00F08E1B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E57073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5688" w:type="dxa"/>
            <w:vMerge w:val="restart"/>
          </w:tcPr>
          <w:p w14:paraId="67BC34A2" w14:textId="7DF7CF54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</w:t>
            </w:r>
            <w:r w:rsidR="00E57073">
              <w:rPr>
                <w:rFonts w:ascii="Arial" w:hAnsi="Arial" w:cs="Arial"/>
                <w:sz w:val="20"/>
                <w:szCs w:val="20"/>
              </w:rPr>
              <w:t xml:space="preserve">HBC </w:t>
            </w:r>
            <w:r w:rsidRPr="008D1DF8">
              <w:rPr>
                <w:rFonts w:ascii="Arial" w:hAnsi="Arial" w:cs="Arial"/>
                <w:sz w:val="20"/>
                <w:szCs w:val="20"/>
              </w:rPr>
              <w:t>Monitoring Fees’)</w:t>
            </w:r>
          </w:p>
        </w:tc>
      </w:tr>
      <w:tr w:rsidR="00087E9C" w:rsidRPr="00167782" w14:paraId="57FB4F4C" w14:textId="77777777" w:rsidTr="00A947CB">
        <w:trPr>
          <w:trHeight w:val="451"/>
          <w:jc w:val="center"/>
        </w:trPr>
        <w:tc>
          <w:tcPr>
            <w:tcW w:w="2222" w:type="dxa"/>
          </w:tcPr>
          <w:p w14:paraId="2F050403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6E77B90F" w14:textId="73F5C4D8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E57073">
              <w:rPr>
                <w:rFonts w:ascii="Arial" w:hAnsi="Arial" w:cs="Arial"/>
                <w:sz w:val="20"/>
                <w:szCs w:val="20"/>
              </w:rPr>
              <w:t>563</w:t>
            </w:r>
          </w:p>
        </w:tc>
        <w:tc>
          <w:tcPr>
            <w:tcW w:w="5688" w:type="dxa"/>
            <w:vMerge/>
          </w:tcPr>
          <w:p w14:paraId="020369B7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087E9C" w:rsidRPr="00167782" w14:paraId="6F7B4312" w14:textId="77777777" w:rsidTr="00A947CB">
        <w:trPr>
          <w:trHeight w:val="451"/>
          <w:jc w:val="center"/>
        </w:trPr>
        <w:tc>
          <w:tcPr>
            <w:tcW w:w="2222" w:type="dxa"/>
          </w:tcPr>
          <w:p w14:paraId="5F1DEAD4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19C6BE27" w14:textId="6A5A26C9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E57073">
              <w:rPr>
                <w:rFonts w:ascii="Arial" w:hAnsi="Arial" w:cs="Arial"/>
                <w:sz w:val="20"/>
                <w:szCs w:val="20"/>
              </w:rPr>
              <w:t>735</w:t>
            </w:r>
          </w:p>
        </w:tc>
        <w:tc>
          <w:tcPr>
            <w:tcW w:w="5688" w:type="dxa"/>
            <w:vMerge/>
          </w:tcPr>
          <w:p w14:paraId="7879B0A9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087E9C" w:rsidRPr="00167782" w14:paraId="13A993EB" w14:textId="77777777" w:rsidTr="00A947CB">
        <w:trPr>
          <w:trHeight w:val="451"/>
          <w:jc w:val="center"/>
        </w:trPr>
        <w:tc>
          <w:tcPr>
            <w:tcW w:w="2222" w:type="dxa"/>
          </w:tcPr>
          <w:p w14:paraId="66C8F728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46BEAFD8" w14:textId="1F8EEE0C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864</w:t>
            </w:r>
          </w:p>
        </w:tc>
        <w:tc>
          <w:tcPr>
            <w:tcW w:w="5688" w:type="dxa"/>
            <w:vMerge/>
          </w:tcPr>
          <w:p w14:paraId="1C6CC40B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087E9C" w:rsidRPr="00167782" w14:paraId="6357B716" w14:textId="77777777" w:rsidTr="00A947CB">
        <w:trPr>
          <w:trHeight w:val="70"/>
          <w:jc w:val="center"/>
        </w:trPr>
        <w:tc>
          <w:tcPr>
            <w:tcW w:w="2222" w:type="dxa"/>
          </w:tcPr>
          <w:p w14:paraId="6B9C6181" w14:textId="77777777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1106" w:type="dxa"/>
          </w:tcPr>
          <w:p w14:paraId="69558879" w14:textId="49FF2A5E" w:rsidR="00087E9C" w:rsidRPr="008D1DF8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1,</w:t>
            </w:r>
            <w:r w:rsidR="00E57073">
              <w:rPr>
                <w:rFonts w:ascii="Arial" w:hAnsi="Arial" w:cs="Arial"/>
                <w:sz w:val="20"/>
                <w:szCs w:val="20"/>
              </w:rPr>
              <w:t>014</w:t>
            </w:r>
          </w:p>
        </w:tc>
        <w:tc>
          <w:tcPr>
            <w:tcW w:w="5688" w:type="dxa"/>
            <w:vMerge/>
          </w:tcPr>
          <w:p w14:paraId="1161787B" w14:textId="77777777" w:rsidR="00087E9C" w:rsidRPr="00167782" w:rsidRDefault="00087E9C" w:rsidP="00E935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3717ADDF" w14:textId="32942B21" w:rsidR="00087E9C" w:rsidRDefault="00087E9C" w:rsidP="00B0721C">
      <w:pPr>
        <w:spacing w:after="160" w:line="259" w:lineRule="auto"/>
        <w:rPr>
          <w:rFonts w:ascii="Arial" w:hAnsi="Arial" w:cs="Arial"/>
          <w:b/>
          <w:lang w:val="en"/>
        </w:rPr>
      </w:pPr>
    </w:p>
    <w:sectPr w:rsidR="00087E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470D0"/>
    <w:rsid w:val="00087E9C"/>
    <w:rsid w:val="000B0EE3"/>
    <w:rsid w:val="000B198B"/>
    <w:rsid w:val="000E51C0"/>
    <w:rsid w:val="00146D6D"/>
    <w:rsid w:val="001544FE"/>
    <w:rsid w:val="001844DF"/>
    <w:rsid w:val="001B2B6E"/>
    <w:rsid w:val="001B5EE6"/>
    <w:rsid w:val="001C0A55"/>
    <w:rsid w:val="001C5CD9"/>
    <w:rsid w:val="00242FF1"/>
    <w:rsid w:val="00284A8A"/>
    <w:rsid w:val="002A1652"/>
    <w:rsid w:val="002A6D3D"/>
    <w:rsid w:val="002E39E5"/>
    <w:rsid w:val="00313624"/>
    <w:rsid w:val="00314489"/>
    <w:rsid w:val="003420A9"/>
    <w:rsid w:val="003A3A79"/>
    <w:rsid w:val="003E7F7C"/>
    <w:rsid w:val="00446494"/>
    <w:rsid w:val="00470F24"/>
    <w:rsid w:val="00472E88"/>
    <w:rsid w:val="004829B0"/>
    <w:rsid w:val="004F6961"/>
    <w:rsid w:val="005105C0"/>
    <w:rsid w:val="005B56A3"/>
    <w:rsid w:val="005C34ED"/>
    <w:rsid w:val="005E5646"/>
    <w:rsid w:val="005F79EA"/>
    <w:rsid w:val="006A6818"/>
    <w:rsid w:val="006D5554"/>
    <w:rsid w:val="00720207"/>
    <w:rsid w:val="007505AF"/>
    <w:rsid w:val="00791DE2"/>
    <w:rsid w:val="007F0B17"/>
    <w:rsid w:val="007F3F7C"/>
    <w:rsid w:val="008058E1"/>
    <w:rsid w:val="00812CB0"/>
    <w:rsid w:val="00852957"/>
    <w:rsid w:val="008C6592"/>
    <w:rsid w:val="008C6D1F"/>
    <w:rsid w:val="008D0653"/>
    <w:rsid w:val="008D1DF8"/>
    <w:rsid w:val="008E4FEE"/>
    <w:rsid w:val="00A257E3"/>
    <w:rsid w:val="00A328B9"/>
    <w:rsid w:val="00A51637"/>
    <w:rsid w:val="00A947CB"/>
    <w:rsid w:val="00AB77F8"/>
    <w:rsid w:val="00AB7C9F"/>
    <w:rsid w:val="00AC3E43"/>
    <w:rsid w:val="00AD45DB"/>
    <w:rsid w:val="00AF57BE"/>
    <w:rsid w:val="00B01433"/>
    <w:rsid w:val="00B0721C"/>
    <w:rsid w:val="00B2573B"/>
    <w:rsid w:val="00B35C8A"/>
    <w:rsid w:val="00C02834"/>
    <w:rsid w:val="00C05A0A"/>
    <w:rsid w:val="00C14BFC"/>
    <w:rsid w:val="00CC245B"/>
    <w:rsid w:val="00CE0900"/>
    <w:rsid w:val="00D638A6"/>
    <w:rsid w:val="00D643AE"/>
    <w:rsid w:val="00D87C30"/>
    <w:rsid w:val="00D93A57"/>
    <w:rsid w:val="00DE236E"/>
    <w:rsid w:val="00DE2EA2"/>
    <w:rsid w:val="00E02F42"/>
    <w:rsid w:val="00E16D07"/>
    <w:rsid w:val="00E533D9"/>
    <w:rsid w:val="00E57073"/>
    <w:rsid w:val="00E76B57"/>
    <w:rsid w:val="00EE057E"/>
    <w:rsid w:val="00F21E15"/>
    <w:rsid w:val="00F4604C"/>
    <w:rsid w:val="00F96359"/>
    <w:rsid w:val="00FA6226"/>
    <w:rsid w:val="00FC370C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4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uiPriority w:val="99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vant.gov.uk/community-infrastructure-lev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ush.gov.uk/work/mitigation-schemes-available-to-develop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anningportal.co.uk/planning/policy-and-legislation/CIL/relief-exemption-and-phase-credit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avant.gov.uk/sites/default/files/documents/HBC%20CIL%20Charging%20Schedule%20Full%20Document%20Feb%202013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avant.gov.uk/unilateral-undertaking-solent-recreation-mitigation-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Louise Weaver</cp:lastModifiedBy>
  <cp:revision>33</cp:revision>
  <dcterms:created xsi:type="dcterms:W3CDTF">2021-07-23T15:13:00Z</dcterms:created>
  <dcterms:modified xsi:type="dcterms:W3CDTF">2022-04-08T11:52:00Z</dcterms:modified>
</cp:coreProperties>
</file>