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C8072" w14:textId="21383C70" w:rsidR="008C6D1F" w:rsidRDefault="008C6D1F" w:rsidP="00B35C8A">
      <w:pPr>
        <w:autoSpaceDE w:val="0"/>
        <w:autoSpaceDN w:val="0"/>
        <w:adjustRightInd w:val="0"/>
        <w:spacing w:after="0" w:line="240" w:lineRule="auto"/>
        <w:rPr>
          <w:rStyle w:val="fontstyle21"/>
          <w:rFonts w:ascii="Arial" w:hAnsi="Arial" w:cs="Arial"/>
          <w:b/>
        </w:rPr>
      </w:pPr>
      <w:r w:rsidRPr="008C6D1F">
        <w:rPr>
          <w:rStyle w:val="fontstyle21"/>
          <w:rFonts w:ascii="Arial" w:hAnsi="Arial" w:cs="Arial"/>
          <w:b/>
        </w:rPr>
        <w:t>APP/2</w:t>
      </w:r>
      <w:r w:rsidR="00B42EC3">
        <w:rPr>
          <w:rStyle w:val="fontstyle21"/>
          <w:rFonts w:ascii="Arial" w:hAnsi="Arial" w:cs="Arial"/>
          <w:b/>
        </w:rPr>
        <w:t>1/01010</w:t>
      </w:r>
      <w:r w:rsidRPr="008C6D1F">
        <w:rPr>
          <w:rStyle w:val="fontstyle21"/>
          <w:rFonts w:ascii="Arial" w:hAnsi="Arial" w:cs="Arial"/>
          <w:b/>
        </w:rPr>
        <w:t xml:space="preserve"> </w:t>
      </w:r>
      <w:r w:rsidR="00B42EC3" w:rsidRPr="00B42EC3">
        <w:rPr>
          <w:rStyle w:val="fontstyle21"/>
          <w:rFonts w:ascii="Arial" w:hAnsi="Arial" w:cs="Arial"/>
          <w:b/>
        </w:rPr>
        <w:t>Land east of, St Georges Avenue, Havant</w:t>
      </w:r>
    </w:p>
    <w:p w14:paraId="05735A99" w14:textId="77777777" w:rsidR="00B42EC3" w:rsidRDefault="00B42EC3" w:rsidP="00B35C8A">
      <w:pPr>
        <w:autoSpaceDE w:val="0"/>
        <w:autoSpaceDN w:val="0"/>
        <w:adjustRightInd w:val="0"/>
        <w:spacing w:after="0" w:line="240" w:lineRule="auto"/>
        <w:rPr>
          <w:rFonts w:ascii="Arial" w:hAnsi="Arial" w:cs="Arial"/>
        </w:rPr>
      </w:pPr>
    </w:p>
    <w:p w14:paraId="189A6648" w14:textId="77777777" w:rsidR="00B42EC3" w:rsidRPr="00B42EC3" w:rsidRDefault="00B42EC3" w:rsidP="00B42EC3">
      <w:pPr>
        <w:autoSpaceDE w:val="0"/>
        <w:autoSpaceDN w:val="0"/>
        <w:adjustRightInd w:val="0"/>
        <w:spacing w:after="0" w:line="240" w:lineRule="auto"/>
        <w:rPr>
          <w:rFonts w:ascii="Arial" w:hAnsi="Arial" w:cs="Arial"/>
        </w:rPr>
      </w:pPr>
      <w:r w:rsidRPr="00B42EC3">
        <w:rPr>
          <w:rFonts w:ascii="Arial" w:hAnsi="Arial" w:cs="Arial"/>
        </w:rPr>
        <w:t>Erection of 194 No. dwellings, means of access, public open space, play areas, associated infrastructure and landscaping.</w:t>
      </w:r>
    </w:p>
    <w:p w14:paraId="2FB3F0E1" w14:textId="77777777" w:rsidR="00556980" w:rsidRPr="00556980" w:rsidRDefault="00556980"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p>
    <w:p w14:paraId="7ED7707D" w14:textId="2A773233" w:rsidR="00D81304" w:rsidRPr="00A51637" w:rsidRDefault="008C6592" w:rsidP="008C6592">
      <w:pPr>
        <w:rPr>
          <w:rFonts w:ascii="Arial" w:hAnsi="Arial" w:cs="Arial"/>
          <w:b/>
        </w:rPr>
      </w:pPr>
      <w:r w:rsidRPr="00A51637">
        <w:rPr>
          <w:rFonts w:ascii="Arial" w:hAnsi="Arial" w:cs="Arial"/>
          <w:b/>
        </w:rPr>
        <w:t xml:space="preserve">HBC Community Infrastructure Officer </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77777777" w:rsidR="005B56A3" w:rsidRPr="008F39B7" w:rsidRDefault="005B56A3" w:rsidP="005B56A3">
      <w:pPr>
        <w:autoSpaceDE w:val="0"/>
        <w:autoSpaceDN w:val="0"/>
        <w:adjustRightInd w:val="0"/>
        <w:spacing w:after="0" w:line="240" w:lineRule="auto"/>
        <w:rPr>
          <w:rFonts w:ascii="Arial" w:hAnsi="Arial" w:cs="Arial"/>
          <w:b/>
        </w:rPr>
      </w:pPr>
    </w:p>
    <w:p w14:paraId="099DEE7C" w14:textId="77777777" w:rsidR="00516871" w:rsidRPr="00AD29F6" w:rsidRDefault="00516871" w:rsidP="00516871">
      <w:pPr>
        <w:spacing w:line="240" w:lineRule="auto"/>
        <w:rPr>
          <w:rFonts w:ascii="Arial" w:hAnsi="Arial" w:cs="Arial"/>
        </w:rPr>
      </w:pPr>
      <w:r w:rsidRPr="00AD29F6">
        <w:rPr>
          <w:rFonts w:ascii="Arial" w:hAnsi="Arial" w:cs="Arial"/>
        </w:rPr>
        <w:t xml:space="preserve">The CIL rate is set out in our Charging Schedule: </w:t>
      </w:r>
      <w:hyperlink r:id="rId7" w:history="1">
        <w:r w:rsidRPr="00AD29F6">
          <w:rPr>
            <w:rStyle w:val="Hyperlink"/>
            <w:rFonts w:ascii="Arial" w:hAnsi="Arial" w:cs="Arial"/>
          </w:rPr>
          <w:t>http://www.havant.gov.uk/sites/default/files/documents/HBC%20CIL%20Charging%20Schedule%20Full%20Document%20Feb%202013.pdf</w:t>
        </w:r>
      </w:hyperlink>
    </w:p>
    <w:p w14:paraId="0AD2CC9D" w14:textId="5AE4E6DF" w:rsidR="00516871" w:rsidRDefault="00516871" w:rsidP="00516871">
      <w:pPr>
        <w:spacing w:line="240" w:lineRule="auto"/>
        <w:rPr>
          <w:rFonts w:ascii="Arial" w:hAnsi="Arial" w:cs="Arial"/>
        </w:rPr>
      </w:pPr>
      <w:r w:rsidRPr="00AD29F6">
        <w:rPr>
          <w:rFonts w:ascii="Arial" w:hAnsi="Arial" w:cs="Arial"/>
        </w:rPr>
        <w:t xml:space="preserve">The amounts in the Charging Schedule are indexed according to the year in which permission is issued. If the permission </w:t>
      </w:r>
      <w:r>
        <w:rPr>
          <w:rFonts w:ascii="Arial" w:hAnsi="Arial" w:cs="Arial"/>
        </w:rPr>
        <w:t>is</w:t>
      </w:r>
      <w:r w:rsidRPr="00AD29F6">
        <w:rPr>
          <w:rFonts w:ascii="Arial" w:hAnsi="Arial" w:cs="Arial"/>
        </w:rPr>
        <w:t xml:space="preserve"> issued in 20</w:t>
      </w:r>
      <w:r>
        <w:rPr>
          <w:rFonts w:ascii="Arial" w:hAnsi="Arial" w:cs="Arial"/>
        </w:rPr>
        <w:t>2</w:t>
      </w:r>
      <w:r w:rsidR="00B42EC3">
        <w:rPr>
          <w:rFonts w:ascii="Arial" w:hAnsi="Arial" w:cs="Arial"/>
        </w:rPr>
        <w:t>2</w:t>
      </w:r>
      <w:r w:rsidRPr="00AD29F6">
        <w:rPr>
          <w:rFonts w:ascii="Arial" w:hAnsi="Arial" w:cs="Arial"/>
        </w:rPr>
        <w:t xml:space="preserve"> the amount of indexation w</w:t>
      </w:r>
      <w:r>
        <w:rPr>
          <w:rFonts w:ascii="Arial" w:hAnsi="Arial" w:cs="Arial"/>
        </w:rPr>
        <w:t>ill be</w:t>
      </w:r>
      <w:r w:rsidRPr="00AD29F6">
        <w:rPr>
          <w:rFonts w:ascii="Arial" w:hAnsi="Arial" w:cs="Arial"/>
        </w:rPr>
        <w:t xml:space="preserve"> </w:t>
      </w:r>
      <w:r w:rsidR="00B42EC3">
        <w:rPr>
          <w:rFonts w:ascii="Arial" w:hAnsi="Arial" w:cs="Arial"/>
          <w:sz w:val="24"/>
          <w:szCs w:val="24"/>
        </w:rPr>
        <w:t>48.21%</w:t>
      </w:r>
      <w:r w:rsidR="00B42EC3">
        <w:rPr>
          <w:rFonts w:ascii="Arial" w:hAnsi="Arial" w:cs="Arial"/>
          <w:sz w:val="24"/>
          <w:szCs w:val="24"/>
        </w:rPr>
        <w:t xml:space="preserve">. </w:t>
      </w:r>
      <w:r w:rsidRPr="00FE76D9">
        <w:rPr>
          <w:rFonts w:ascii="Arial" w:hAnsi="Arial" w:cs="Arial"/>
        </w:rPr>
        <w:t xml:space="preserve">It </w:t>
      </w:r>
      <w:r w:rsidR="00EB4758">
        <w:rPr>
          <w:rFonts w:ascii="Arial" w:hAnsi="Arial" w:cs="Arial"/>
        </w:rPr>
        <w:t>may change</w:t>
      </w:r>
      <w:r w:rsidRPr="00FE76D9">
        <w:rPr>
          <w:rFonts w:ascii="Arial" w:hAnsi="Arial" w:cs="Arial"/>
        </w:rPr>
        <w:t xml:space="preserve"> if permission is issued in 202</w:t>
      </w:r>
      <w:r w:rsidR="00B42EC3">
        <w:rPr>
          <w:rFonts w:ascii="Arial" w:hAnsi="Arial" w:cs="Arial"/>
        </w:rPr>
        <w:t>3</w:t>
      </w:r>
      <w:r w:rsidRPr="00FE76D9">
        <w:rPr>
          <w:rFonts w:ascii="Arial" w:hAnsi="Arial" w:cs="Arial"/>
        </w:rPr>
        <w:t xml:space="preserve">. </w:t>
      </w:r>
    </w:p>
    <w:p w14:paraId="1A79DA59" w14:textId="27AAD95B" w:rsidR="00C15E49" w:rsidRDefault="00C15E49" w:rsidP="00516871">
      <w:pPr>
        <w:spacing w:line="240" w:lineRule="auto"/>
        <w:rPr>
          <w:rFonts w:ascii="Arial" w:hAnsi="Arial" w:cs="Arial"/>
        </w:rPr>
      </w:pPr>
      <w:r>
        <w:rPr>
          <w:rFonts w:ascii="Arial" w:hAnsi="Arial" w:cs="Arial"/>
        </w:rPr>
        <w:t>The following schedule of accommodation has been provided in the Planning Statement:</w:t>
      </w:r>
    </w:p>
    <w:p w14:paraId="67FD8C12" w14:textId="77777777" w:rsidR="00C15E49" w:rsidRPr="00434BE6" w:rsidRDefault="00C15E49" w:rsidP="00C15E49">
      <w:pPr>
        <w:autoSpaceDE w:val="0"/>
        <w:autoSpaceDN w:val="0"/>
        <w:adjustRightInd w:val="0"/>
        <w:spacing w:after="0" w:line="240" w:lineRule="auto"/>
        <w:rPr>
          <w:rFonts w:ascii="Arial" w:hAnsi="Arial" w:cs="Arial"/>
          <w:b/>
          <w:bCs/>
        </w:rPr>
      </w:pPr>
      <w:r w:rsidRPr="00434BE6">
        <w:rPr>
          <w:rFonts w:ascii="Arial" w:hAnsi="Arial" w:cs="Arial"/>
          <w:b/>
          <w:bCs/>
        </w:rPr>
        <w:t>136 Market Dwellings (70%)</w:t>
      </w:r>
    </w:p>
    <w:p w14:paraId="04F36A7B" w14:textId="2AA34CE6" w:rsidR="00C15E49" w:rsidRPr="00434BE6" w:rsidRDefault="00C15E49" w:rsidP="00C15E49">
      <w:pPr>
        <w:pStyle w:val="ListParagraph"/>
        <w:numPr>
          <w:ilvl w:val="0"/>
          <w:numId w:val="3"/>
        </w:numPr>
        <w:autoSpaceDE w:val="0"/>
        <w:autoSpaceDN w:val="0"/>
        <w:adjustRightInd w:val="0"/>
        <w:spacing w:after="0" w:line="240" w:lineRule="auto"/>
        <w:rPr>
          <w:rFonts w:ascii="Arial" w:hAnsi="Arial" w:cs="Arial"/>
        </w:rPr>
      </w:pPr>
      <w:r w:rsidRPr="00434BE6">
        <w:rPr>
          <w:rFonts w:ascii="Arial" w:hAnsi="Arial" w:cs="Arial"/>
        </w:rPr>
        <w:t>49 no. 2 bed properties</w:t>
      </w:r>
    </w:p>
    <w:p w14:paraId="09489F4B" w14:textId="55C9D50A" w:rsidR="00C15E49" w:rsidRPr="00434BE6" w:rsidRDefault="00C15E49" w:rsidP="00C15E49">
      <w:pPr>
        <w:pStyle w:val="ListParagraph"/>
        <w:numPr>
          <w:ilvl w:val="0"/>
          <w:numId w:val="3"/>
        </w:numPr>
        <w:autoSpaceDE w:val="0"/>
        <w:autoSpaceDN w:val="0"/>
        <w:adjustRightInd w:val="0"/>
        <w:spacing w:after="0" w:line="240" w:lineRule="auto"/>
        <w:rPr>
          <w:rFonts w:ascii="Arial" w:hAnsi="Arial" w:cs="Arial"/>
        </w:rPr>
      </w:pPr>
      <w:r w:rsidRPr="00434BE6">
        <w:rPr>
          <w:rFonts w:ascii="Arial" w:hAnsi="Arial" w:cs="Arial"/>
        </w:rPr>
        <w:t>51 no. 3 bed properties</w:t>
      </w:r>
    </w:p>
    <w:p w14:paraId="4213B2F9" w14:textId="3AFED765" w:rsidR="00C15E49" w:rsidRPr="00434BE6" w:rsidRDefault="00C15E49" w:rsidP="00C15E49">
      <w:pPr>
        <w:pStyle w:val="ListParagraph"/>
        <w:numPr>
          <w:ilvl w:val="0"/>
          <w:numId w:val="3"/>
        </w:numPr>
        <w:autoSpaceDE w:val="0"/>
        <w:autoSpaceDN w:val="0"/>
        <w:adjustRightInd w:val="0"/>
        <w:spacing w:after="0" w:line="240" w:lineRule="auto"/>
        <w:rPr>
          <w:rFonts w:ascii="Arial" w:hAnsi="Arial" w:cs="Arial"/>
        </w:rPr>
      </w:pPr>
      <w:r w:rsidRPr="00434BE6">
        <w:rPr>
          <w:rFonts w:ascii="Arial" w:hAnsi="Arial" w:cs="Arial"/>
        </w:rPr>
        <w:t>35 no. 4 bed properties</w:t>
      </w:r>
    </w:p>
    <w:p w14:paraId="08C5D32D" w14:textId="77777777" w:rsidR="00C15E49" w:rsidRPr="00434BE6" w:rsidRDefault="00C15E49" w:rsidP="00C15E49">
      <w:pPr>
        <w:autoSpaceDE w:val="0"/>
        <w:autoSpaceDN w:val="0"/>
        <w:adjustRightInd w:val="0"/>
        <w:spacing w:after="0" w:line="240" w:lineRule="auto"/>
        <w:rPr>
          <w:rFonts w:ascii="Arial" w:hAnsi="Arial" w:cs="Arial"/>
          <w:b/>
          <w:bCs/>
        </w:rPr>
      </w:pPr>
      <w:r w:rsidRPr="00434BE6">
        <w:rPr>
          <w:rFonts w:ascii="Arial" w:hAnsi="Arial" w:cs="Arial"/>
          <w:b/>
          <w:bCs/>
        </w:rPr>
        <w:t>58 Affordable Dwellings (30%)</w:t>
      </w:r>
    </w:p>
    <w:p w14:paraId="28431B39" w14:textId="5D9A13B5" w:rsidR="00C15E49" w:rsidRPr="00434BE6" w:rsidRDefault="00C15E49" w:rsidP="00C15E49">
      <w:pPr>
        <w:pStyle w:val="ListParagraph"/>
        <w:numPr>
          <w:ilvl w:val="0"/>
          <w:numId w:val="4"/>
        </w:numPr>
        <w:autoSpaceDE w:val="0"/>
        <w:autoSpaceDN w:val="0"/>
        <w:adjustRightInd w:val="0"/>
        <w:spacing w:after="0" w:line="240" w:lineRule="auto"/>
        <w:rPr>
          <w:rFonts w:ascii="Arial" w:hAnsi="Arial" w:cs="Arial"/>
        </w:rPr>
      </w:pPr>
      <w:r w:rsidRPr="00434BE6">
        <w:rPr>
          <w:rFonts w:ascii="Arial" w:hAnsi="Arial" w:cs="Arial"/>
        </w:rPr>
        <w:t>10 no. 1 bed properties</w:t>
      </w:r>
    </w:p>
    <w:p w14:paraId="31782430" w14:textId="7AF2F4AC" w:rsidR="00C15E49" w:rsidRPr="00434BE6" w:rsidRDefault="00C15E49" w:rsidP="00C15E49">
      <w:pPr>
        <w:pStyle w:val="ListParagraph"/>
        <w:numPr>
          <w:ilvl w:val="0"/>
          <w:numId w:val="4"/>
        </w:numPr>
        <w:autoSpaceDE w:val="0"/>
        <w:autoSpaceDN w:val="0"/>
        <w:adjustRightInd w:val="0"/>
        <w:spacing w:after="0" w:line="240" w:lineRule="auto"/>
        <w:rPr>
          <w:rFonts w:ascii="Arial" w:hAnsi="Arial" w:cs="Arial"/>
        </w:rPr>
      </w:pPr>
      <w:r w:rsidRPr="00434BE6">
        <w:rPr>
          <w:rFonts w:ascii="Arial" w:hAnsi="Arial" w:cs="Arial"/>
        </w:rPr>
        <w:t>39 no. 2 bed properties</w:t>
      </w:r>
    </w:p>
    <w:p w14:paraId="69110E0A" w14:textId="55A1563B" w:rsidR="00C15E49" w:rsidRPr="00434BE6" w:rsidRDefault="00C15E49" w:rsidP="00C15E49">
      <w:pPr>
        <w:pStyle w:val="ListParagraph"/>
        <w:numPr>
          <w:ilvl w:val="0"/>
          <w:numId w:val="4"/>
        </w:numPr>
        <w:autoSpaceDE w:val="0"/>
        <w:autoSpaceDN w:val="0"/>
        <w:adjustRightInd w:val="0"/>
        <w:spacing w:after="0" w:line="240" w:lineRule="auto"/>
        <w:rPr>
          <w:rFonts w:ascii="Arial" w:hAnsi="Arial" w:cs="Arial"/>
        </w:rPr>
      </w:pPr>
      <w:r w:rsidRPr="00434BE6">
        <w:rPr>
          <w:rFonts w:ascii="Arial" w:hAnsi="Arial" w:cs="Arial"/>
        </w:rPr>
        <w:t>18 no. 3 bed properties</w:t>
      </w:r>
    </w:p>
    <w:p w14:paraId="60614575" w14:textId="2D9414A7" w:rsidR="00C15E49" w:rsidRPr="00434BE6" w:rsidRDefault="00C15E49" w:rsidP="00C15E49">
      <w:pPr>
        <w:pStyle w:val="ListParagraph"/>
        <w:numPr>
          <w:ilvl w:val="0"/>
          <w:numId w:val="4"/>
        </w:numPr>
        <w:spacing w:line="240" w:lineRule="auto"/>
        <w:rPr>
          <w:rFonts w:ascii="Arial" w:hAnsi="Arial" w:cs="Arial"/>
        </w:rPr>
      </w:pPr>
      <w:r w:rsidRPr="00434BE6">
        <w:rPr>
          <w:rFonts w:ascii="Arial" w:hAnsi="Arial" w:cs="Arial"/>
        </w:rPr>
        <w:t>2 no. 4 bed properties</w:t>
      </w:r>
    </w:p>
    <w:p w14:paraId="24E91D77" w14:textId="16D20C4D" w:rsidR="00C15E49" w:rsidRPr="00C15E49" w:rsidRDefault="00434BE6" w:rsidP="00C15E49">
      <w:pPr>
        <w:spacing w:line="240" w:lineRule="auto"/>
        <w:rPr>
          <w:rFonts w:ascii="Arial" w:hAnsi="Arial" w:cs="Arial"/>
        </w:rPr>
      </w:pPr>
      <w:r>
        <w:rPr>
          <w:rFonts w:ascii="Arial" w:hAnsi="Arial" w:cs="Arial"/>
        </w:rPr>
        <w:t>A CIL form 10 will be required prior to commencement to allow Social Housing Relief, or prior to decision. if the CIL Liability Notice is to show the Social Housing Relief Granted.</w:t>
      </w:r>
    </w:p>
    <w:p w14:paraId="054C95E0" w14:textId="499C539C" w:rsidR="004D755C" w:rsidRPr="00561189" w:rsidRDefault="004D755C" w:rsidP="004D755C">
      <w:pPr>
        <w:pStyle w:val="NormalWeb"/>
        <w:shd w:val="clear" w:color="auto" w:fill="FFFFFF"/>
        <w:spacing w:before="0" w:beforeAutospacing="0" w:after="0" w:afterAutospacing="0"/>
        <w:rPr>
          <w:rFonts w:ascii="Arial" w:hAnsi="Arial" w:cs="Arial"/>
          <w:color w:val="000000"/>
          <w:sz w:val="22"/>
          <w:szCs w:val="22"/>
        </w:rPr>
      </w:pPr>
      <w:r w:rsidRPr="00561189">
        <w:rPr>
          <w:rStyle w:val="Hyperlink"/>
          <w:rFonts w:ascii="Arial" w:hAnsi="Arial" w:cs="Arial"/>
          <w:color w:val="auto"/>
          <w:sz w:val="22"/>
          <w:szCs w:val="22"/>
          <w:u w:val="none"/>
        </w:rPr>
        <w:t xml:space="preserve">Please note the current CIL Charging Schedule in under review and </w:t>
      </w:r>
      <w:r w:rsidRPr="00561189">
        <w:rPr>
          <w:rFonts w:ascii="Arial" w:hAnsi="Arial" w:cs="Arial"/>
          <w:color w:val="000000"/>
          <w:sz w:val="22"/>
          <w:szCs w:val="22"/>
        </w:rPr>
        <w:t>a replacement schedule has gone through examination.  The Council plans to adopt the new schedule alongside the emerging Local Plan</w:t>
      </w:r>
      <w:r w:rsidR="00561189" w:rsidRPr="00561189">
        <w:rPr>
          <w:rFonts w:ascii="Arial" w:hAnsi="Arial" w:cs="Arial"/>
          <w:color w:val="000000"/>
          <w:sz w:val="22"/>
          <w:szCs w:val="22"/>
        </w:rPr>
        <w:t xml:space="preserve">, </w:t>
      </w:r>
      <w:r w:rsidR="00561189" w:rsidRPr="00561189">
        <w:rPr>
          <w:rFonts w:ascii="Arial" w:hAnsi="Arial" w:cs="Arial"/>
          <w:sz w:val="22"/>
          <w:szCs w:val="22"/>
        </w:rPr>
        <w:t>the Council intends to consider these two policies for adoption simultaneously, once the Local Plan examination is complete.</w:t>
      </w:r>
    </w:p>
    <w:p w14:paraId="009D1C3B" w14:textId="77777777" w:rsidR="00561189" w:rsidRDefault="00561189" w:rsidP="00FC370C">
      <w:pPr>
        <w:rPr>
          <w:rStyle w:val="Hyperlink"/>
          <w:rFonts w:ascii="Arial" w:hAnsi="Arial" w:cs="Arial"/>
          <w:b/>
          <w:color w:val="auto"/>
        </w:rPr>
      </w:pPr>
    </w:p>
    <w:p w14:paraId="26944938" w14:textId="708D87BC" w:rsidR="00AF57BE" w:rsidRPr="00AF57BE" w:rsidRDefault="00AF57BE" w:rsidP="00FC370C">
      <w:pPr>
        <w:rPr>
          <w:rStyle w:val="Hyperlink"/>
          <w:rFonts w:ascii="Arial" w:hAnsi="Arial" w:cs="Arial"/>
          <w:b/>
          <w:color w:val="auto"/>
        </w:rPr>
      </w:pPr>
      <w:r w:rsidRPr="00AF57BE">
        <w:rPr>
          <w:rStyle w:val="Hyperlink"/>
          <w:rFonts w:ascii="Arial" w:hAnsi="Arial" w:cs="Arial"/>
          <w:b/>
          <w:color w:val="auto"/>
        </w:rPr>
        <w:t>S106</w:t>
      </w:r>
    </w:p>
    <w:p w14:paraId="06A548C2" w14:textId="0A90B5F0" w:rsidR="005B56A3" w:rsidRPr="00AE37F0" w:rsidRDefault="005B56A3" w:rsidP="005B56A3">
      <w:pPr>
        <w:autoSpaceDE w:val="0"/>
        <w:autoSpaceDN w:val="0"/>
        <w:adjustRightInd w:val="0"/>
        <w:spacing w:after="0" w:line="240" w:lineRule="auto"/>
        <w:rPr>
          <w:rFonts w:ascii="Arial" w:hAnsi="Arial" w:cs="Arial"/>
        </w:rPr>
      </w:pPr>
      <w:r w:rsidRPr="00AE37F0">
        <w:rPr>
          <w:rFonts w:ascii="Arial" w:hAnsi="Arial" w:cs="Arial"/>
        </w:rPr>
        <w:t>Subject to statutory consultee responses we would expect the S106 to include (amongst any other site</w:t>
      </w:r>
      <w:r w:rsidR="00A328B9">
        <w:rPr>
          <w:rFonts w:ascii="Arial" w:hAnsi="Arial" w:cs="Arial"/>
        </w:rPr>
        <w:t>-</w:t>
      </w:r>
      <w:r w:rsidRPr="00AE37F0">
        <w:rPr>
          <w:rFonts w:ascii="Arial" w:hAnsi="Arial" w:cs="Arial"/>
        </w:rPr>
        <w:t>specific obligations necessary):</w:t>
      </w:r>
    </w:p>
    <w:p w14:paraId="0DE4E2A4" w14:textId="77777777" w:rsidR="005B56A3" w:rsidRPr="00B81B00" w:rsidRDefault="005B56A3" w:rsidP="005B56A3">
      <w:pPr>
        <w:autoSpaceDE w:val="0"/>
        <w:autoSpaceDN w:val="0"/>
        <w:adjustRightInd w:val="0"/>
        <w:spacing w:after="0" w:line="240" w:lineRule="auto"/>
        <w:rPr>
          <w:rFonts w:ascii="Arial" w:hAnsi="Arial" w:cs="Arial"/>
          <w:b/>
        </w:rPr>
      </w:pPr>
    </w:p>
    <w:p w14:paraId="20D76ED8" w14:textId="01380A7D" w:rsidR="005B56A3" w:rsidRPr="00B81B00" w:rsidRDefault="005B56A3" w:rsidP="005B56A3">
      <w:pPr>
        <w:pStyle w:val="ListParagraph"/>
        <w:numPr>
          <w:ilvl w:val="0"/>
          <w:numId w:val="1"/>
        </w:numPr>
        <w:rPr>
          <w:rFonts w:ascii="Arial" w:hAnsi="Arial" w:cs="Arial"/>
        </w:rPr>
      </w:pPr>
      <w:r w:rsidRPr="00B81B00">
        <w:rPr>
          <w:rFonts w:ascii="Arial" w:hAnsi="Arial" w:cs="Arial"/>
        </w:rPr>
        <w:t>Affordable Housing</w:t>
      </w:r>
      <w:r w:rsidR="00DE33F2">
        <w:rPr>
          <w:rFonts w:ascii="Arial" w:hAnsi="Arial" w:cs="Arial"/>
        </w:rPr>
        <w:t xml:space="preserve"> </w:t>
      </w:r>
    </w:p>
    <w:p w14:paraId="03C40FF7" w14:textId="20D115DF" w:rsidR="005B56A3" w:rsidRDefault="005B72AD" w:rsidP="005B56A3">
      <w:pPr>
        <w:pStyle w:val="ListParagraph"/>
        <w:numPr>
          <w:ilvl w:val="0"/>
          <w:numId w:val="1"/>
        </w:numPr>
        <w:rPr>
          <w:rFonts w:ascii="Arial" w:hAnsi="Arial" w:cs="Arial"/>
        </w:rPr>
      </w:pPr>
      <w:r>
        <w:rPr>
          <w:rFonts w:ascii="Arial" w:hAnsi="Arial" w:cs="Arial"/>
        </w:rPr>
        <w:t xml:space="preserve">HBC </w:t>
      </w:r>
      <w:r w:rsidR="005B56A3" w:rsidRPr="00B81B00">
        <w:rPr>
          <w:rFonts w:ascii="Arial" w:hAnsi="Arial" w:cs="Arial"/>
        </w:rPr>
        <w:t>Monitoring Fees*</w:t>
      </w:r>
    </w:p>
    <w:p w14:paraId="1040C8B5" w14:textId="689D4228" w:rsidR="005B72AD" w:rsidRPr="00B81B00" w:rsidRDefault="005B72AD" w:rsidP="005B56A3">
      <w:pPr>
        <w:pStyle w:val="ListParagraph"/>
        <w:numPr>
          <w:ilvl w:val="0"/>
          <w:numId w:val="1"/>
        </w:numPr>
        <w:rPr>
          <w:rFonts w:ascii="Arial" w:hAnsi="Arial" w:cs="Arial"/>
        </w:rPr>
      </w:pPr>
      <w:r>
        <w:rPr>
          <w:rFonts w:ascii="Arial" w:hAnsi="Arial" w:cs="Arial"/>
        </w:rPr>
        <w:t>HCC Monitoring Fees</w:t>
      </w:r>
    </w:p>
    <w:p w14:paraId="13A532C0" w14:textId="77777777" w:rsidR="005B56A3" w:rsidRPr="00B81B00" w:rsidRDefault="005B56A3" w:rsidP="005B56A3">
      <w:pPr>
        <w:pStyle w:val="ListParagraph"/>
        <w:numPr>
          <w:ilvl w:val="0"/>
          <w:numId w:val="1"/>
        </w:numPr>
        <w:rPr>
          <w:rFonts w:ascii="Arial" w:hAnsi="Arial" w:cs="Arial"/>
        </w:rPr>
      </w:pPr>
      <w:r w:rsidRPr="00B81B00">
        <w:rPr>
          <w:rFonts w:ascii="Arial" w:hAnsi="Arial" w:cs="Arial"/>
        </w:rPr>
        <w:t>Management Co</w:t>
      </w:r>
      <w:r>
        <w:rPr>
          <w:rFonts w:ascii="Arial" w:hAnsi="Arial" w:cs="Arial"/>
        </w:rPr>
        <w:t>mpany</w:t>
      </w:r>
    </w:p>
    <w:p w14:paraId="4398B62F" w14:textId="4F151866" w:rsidR="005B56A3" w:rsidRPr="00B81B00" w:rsidRDefault="005B56A3" w:rsidP="005B56A3">
      <w:pPr>
        <w:pStyle w:val="ListParagraph"/>
        <w:numPr>
          <w:ilvl w:val="0"/>
          <w:numId w:val="1"/>
        </w:numPr>
        <w:rPr>
          <w:rFonts w:ascii="Arial" w:hAnsi="Arial" w:cs="Arial"/>
        </w:rPr>
      </w:pPr>
      <w:r w:rsidRPr="00B81B00">
        <w:rPr>
          <w:rFonts w:ascii="Arial" w:hAnsi="Arial" w:cs="Arial"/>
        </w:rPr>
        <w:t>Management Plan</w:t>
      </w:r>
      <w:r w:rsidR="004829B0">
        <w:rPr>
          <w:rFonts w:ascii="Arial" w:hAnsi="Arial" w:cs="Arial"/>
        </w:rPr>
        <w:t xml:space="preserve"> (may include SUDS)</w:t>
      </w:r>
    </w:p>
    <w:p w14:paraId="5491F906" w14:textId="371BA151" w:rsidR="005B56A3" w:rsidRDefault="005B56A3" w:rsidP="005B56A3">
      <w:pPr>
        <w:pStyle w:val="ListParagraph"/>
        <w:numPr>
          <w:ilvl w:val="0"/>
          <w:numId w:val="1"/>
        </w:numPr>
        <w:rPr>
          <w:rFonts w:ascii="Arial" w:hAnsi="Arial" w:cs="Arial"/>
        </w:rPr>
      </w:pPr>
      <w:r w:rsidRPr="00DE38F1">
        <w:rPr>
          <w:rFonts w:ascii="Arial" w:hAnsi="Arial" w:cs="Arial"/>
        </w:rPr>
        <w:t>Solent Recreation Mitigation Strategy (see further information</w:t>
      </w:r>
      <w:r>
        <w:rPr>
          <w:rFonts w:ascii="Arial" w:hAnsi="Arial" w:cs="Arial"/>
        </w:rPr>
        <w:t>)**</w:t>
      </w:r>
      <w:r w:rsidRPr="00DE38F1">
        <w:rPr>
          <w:rFonts w:ascii="Arial" w:hAnsi="Arial" w:cs="Arial"/>
        </w:rPr>
        <w:t xml:space="preserve"> </w:t>
      </w:r>
    </w:p>
    <w:p w14:paraId="3A087086" w14:textId="3E2DBB63" w:rsidR="00A328B9" w:rsidRDefault="00A328B9" w:rsidP="00573551">
      <w:pPr>
        <w:pStyle w:val="ListParagraph"/>
        <w:numPr>
          <w:ilvl w:val="0"/>
          <w:numId w:val="1"/>
        </w:numPr>
        <w:rPr>
          <w:rFonts w:ascii="Arial" w:hAnsi="Arial" w:cs="Arial"/>
        </w:rPr>
      </w:pPr>
      <w:r>
        <w:rPr>
          <w:rFonts w:ascii="Arial" w:hAnsi="Arial" w:cs="Arial"/>
        </w:rPr>
        <w:t>Nutrient</w:t>
      </w:r>
      <w:r w:rsidR="00B01433">
        <w:rPr>
          <w:rFonts w:ascii="Arial" w:hAnsi="Arial" w:cs="Arial"/>
        </w:rPr>
        <w:t xml:space="preserve"> Neutrality</w:t>
      </w:r>
      <w:r w:rsidR="00573551">
        <w:rPr>
          <w:rFonts w:ascii="Arial" w:hAnsi="Arial" w:cs="Arial"/>
        </w:rPr>
        <w:t xml:space="preserve"> </w:t>
      </w:r>
      <w:hyperlink r:id="rId8" w:history="1">
        <w:r w:rsidR="00573551" w:rsidRPr="006F5E71">
          <w:rPr>
            <w:rStyle w:val="Hyperlink"/>
            <w:rFonts w:ascii="Arial" w:hAnsi="Arial" w:cs="Arial"/>
          </w:rPr>
          <w:t>https://www.havant.gov.uk/nitrogen-developers</w:t>
        </w:r>
      </w:hyperlink>
    </w:p>
    <w:p w14:paraId="751ABD08" w14:textId="065A0D40" w:rsidR="00A328B9" w:rsidRDefault="00A328B9" w:rsidP="005B56A3">
      <w:pPr>
        <w:pStyle w:val="ListParagraph"/>
        <w:numPr>
          <w:ilvl w:val="0"/>
          <w:numId w:val="1"/>
        </w:numPr>
        <w:rPr>
          <w:rFonts w:ascii="Arial" w:hAnsi="Arial" w:cs="Arial"/>
        </w:rPr>
      </w:pPr>
      <w:r>
        <w:rPr>
          <w:rFonts w:ascii="Arial" w:hAnsi="Arial" w:cs="Arial"/>
        </w:rPr>
        <w:t>Employment and Skills Plan</w:t>
      </w:r>
    </w:p>
    <w:p w14:paraId="47BB03F3" w14:textId="19BEDFE6" w:rsidR="00871F04" w:rsidRPr="00DE38F1" w:rsidRDefault="00871F04" w:rsidP="005B56A3">
      <w:pPr>
        <w:pStyle w:val="ListParagraph"/>
        <w:numPr>
          <w:ilvl w:val="0"/>
          <w:numId w:val="1"/>
        </w:numPr>
        <w:rPr>
          <w:rFonts w:ascii="Arial" w:hAnsi="Arial" w:cs="Arial"/>
        </w:rPr>
      </w:pPr>
      <w:r>
        <w:rPr>
          <w:rFonts w:ascii="Arial" w:hAnsi="Arial" w:cs="Arial"/>
        </w:rPr>
        <w:t>Community Worker</w:t>
      </w:r>
      <w:r w:rsidR="00B42EC3">
        <w:rPr>
          <w:rFonts w:ascii="Arial" w:hAnsi="Arial" w:cs="Arial"/>
        </w:rPr>
        <w:t xml:space="preserve"> (payment due prior to commencement)</w:t>
      </w:r>
    </w:p>
    <w:p w14:paraId="7F0B2DBF" w14:textId="77777777" w:rsidR="005B56A3" w:rsidRPr="00B81B00" w:rsidRDefault="005B56A3" w:rsidP="005B56A3">
      <w:pPr>
        <w:pStyle w:val="ListParagraph"/>
        <w:numPr>
          <w:ilvl w:val="0"/>
          <w:numId w:val="1"/>
        </w:numPr>
        <w:rPr>
          <w:rFonts w:ascii="Arial" w:hAnsi="Arial" w:cs="Arial"/>
        </w:rPr>
      </w:pPr>
      <w:r w:rsidRPr="00B81B00">
        <w:rPr>
          <w:rFonts w:ascii="Arial" w:hAnsi="Arial" w:cs="Arial"/>
        </w:rPr>
        <w:t>Education (HCC)</w:t>
      </w:r>
    </w:p>
    <w:p w14:paraId="6AE6FF08" w14:textId="498B270E" w:rsidR="005B56A3" w:rsidRDefault="00F96359" w:rsidP="005B56A3">
      <w:pPr>
        <w:pStyle w:val="ListParagraph"/>
        <w:numPr>
          <w:ilvl w:val="0"/>
          <w:numId w:val="1"/>
        </w:numPr>
        <w:rPr>
          <w:rFonts w:ascii="Arial" w:hAnsi="Arial" w:cs="Arial"/>
        </w:rPr>
      </w:pPr>
      <w:r w:rsidRPr="002E39E5">
        <w:rPr>
          <w:rFonts w:ascii="Arial" w:hAnsi="Arial" w:cs="Arial"/>
        </w:rPr>
        <w:lastRenderedPageBreak/>
        <w:t>SUDS</w:t>
      </w:r>
      <w:r w:rsidR="002E39E5" w:rsidRPr="002E39E5">
        <w:rPr>
          <w:rFonts w:ascii="Arial" w:hAnsi="Arial" w:cs="Arial"/>
        </w:rPr>
        <w:t>/SUDS Bond</w:t>
      </w:r>
      <w:r w:rsidR="004829B0">
        <w:rPr>
          <w:rFonts w:ascii="Arial" w:hAnsi="Arial" w:cs="Arial"/>
        </w:rPr>
        <w:t xml:space="preserve"> (Bond not necessary if Southern Water have agreed to adopt SUDS once installed)</w:t>
      </w:r>
    </w:p>
    <w:p w14:paraId="7A66275D" w14:textId="4CCE363E" w:rsidR="005B72AD" w:rsidRPr="002E39E5" w:rsidRDefault="005B72AD" w:rsidP="005B56A3">
      <w:pPr>
        <w:pStyle w:val="ListParagraph"/>
        <w:numPr>
          <w:ilvl w:val="0"/>
          <w:numId w:val="1"/>
        </w:numPr>
        <w:rPr>
          <w:rFonts w:ascii="Arial" w:hAnsi="Arial" w:cs="Arial"/>
        </w:rPr>
      </w:pPr>
      <w:r>
        <w:rPr>
          <w:rFonts w:ascii="Arial" w:hAnsi="Arial" w:cs="Arial"/>
        </w:rPr>
        <w:t>Travel Plan (HCC)</w:t>
      </w:r>
    </w:p>
    <w:p w14:paraId="3AD2BF7B" w14:textId="77777777" w:rsidR="005B56A3" w:rsidRPr="002E39E5" w:rsidRDefault="005B56A3" w:rsidP="005B56A3">
      <w:pPr>
        <w:pStyle w:val="ListParagraph"/>
        <w:numPr>
          <w:ilvl w:val="0"/>
          <w:numId w:val="1"/>
        </w:numPr>
        <w:rPr>
          <w:rFonts w:ascii="Arial" w:hAnsi="Arial" w:cs="Arial"/>
        </w:rPr>
      </w:pPr>
      <w:r w:rsidRPr="002E39E5">
        <w:rPr>
          <w:rFonts w:ascii="Arial" w:hAnsi="Arial" w:cs="Arial"/>
        </w:rPr>
        <w:t>Highway Works (HCC)</w:t>
      </w:r>
    </w:p>
    <w:p w14:paraId="4208A8FA" w14:textId="787B4150" w:rsidR="005B56A3" w:rsidRDefault="005B56A3" w:rsidP="005B56A3">
      <w:pPr>
        <w:pStyle w:val="ListParagraph"/>
        <w:numPr>
          <w:ilvl w:val="0"/>
          <w:numId w:val="1"/>
        </w:numPr>
        <w:rPr>
          <w:rFonts w:ascii="Arial" w:hAnsi="Arial" w:cs="Arial"/>
        </w:rPr>
      </w:pPr>
      <w:r w:rsidRPr="002E39E5">
        <w:rPr>
          <w:rFonts w:ascii="Arial" w:hAnsi="Arial" w:cs="Arial"/>
        </w:rPr>
        <w:t>Site Specific Transport Improvements (HCC)</w:t>
      </w:r>
    </w:p>
    <w:p w14:paraId="614749BF" w14:textId="5D2352D4" w:rsidR="005B56A3" w:rsidRDefault="005B56A3" w:rsidP="005B56A3">
      <w:pPr>
        <w:pStyle w:val="ListParagraph"/>
        <w:numPr>
          <w:ilvl w:val="0"/>
          <w:numId w:val="1"/>
        </w:numPr>
        <w:rPr>
          <w:rFonts w:ascii="Arial" w:hAnsi="Arial" w:cs="Arial"/>
        </w:rPr>
      </w:pPr>
      <w:r w:rsidRPr="002E39E5">
        <w:rPr>
          <w:rFonts w:ascii="Arial" w:hAnsi="Arial" w:cs="Arial"/>
        </w:rPr>
        <w:t>Others</w:t>
      </w:r>
      <w:r w:rsidR="002E39E5" w:rsidRPr="002E39E5">
        <w:rPr>
          <w:rFonts w:ascii="Arial" w:hAnsi="Arial" w:cs="Arial"/>
        </w:rPr>
        <w:t xml:space="preserve"> arising out of consultee responses</w:t>
      </w:r>
    </w:p>
    <w:p w14:paraId="78CE3C49" w14:textId="77777777" w:rsidR="00D81304" w:rsidRPr="001559CD" w:rsidRDefault="00D81304" w:rsidP="00D81304">
      <w:pPr>
        <w:rPr>
          <w:rStyle w:val="Hyperlink"/>
          <w:rFonts w:ascii="Arial" w:hAnsi="Arial" w:cs="Arial"/>
          <w:b/>
          <w:color w:val="auto"/>
        </w:rPr>
      </w:pPr>
      <w:r w:rsidRPr="001559CD">
        <w:rPr>
          <w:rStyle w:val="Hyperlink"/>
          <w:rFonts w:ascii="Arial" w:hAnsi="Arial" w:cs="Arial"/>
          <w:b/>
          <w:color w:val="auto"/>
        </w:rPr>
        <w:t>SEE THE HBC DEVELOPER CONTRIBUTIONS GUIDE FOR ADDITIONAL INFORMATION:</w:t>
      </w:r>
    </w:p>
    <w:p w14:paraId="1AEBB6F4" w14:textId="77777777" w:rsidR="00D81304" w:rsidRPr="001559CD" w:rsidRDefault="00D81304" w:rsidP="00D81304">
      <w:pPr>
        <w:autoSpaceDE w:val="0"/>
        <w:autoSpaceDN w:val="0"/>
        <w:adjustRightInd w:val="0"/>
        <w:spacing w:after="0" w:line="240" w:lineRule="auto"/>
        <w:rPr>
          <w:rFonts w:ascii="Arial" w:hAnsi="Arial" w:cs="Arial"/>
        </w:rPr>
      </w:pPr>
      <w:r w:rsidRPr="001559CD">
        <w:rPr>
          <w:rFonts w:ascii="Arial" w:hAnsi="Arial" w:cs="Arial"/>
        </w:rPr>
        <w:t xml:space="preserve">Latest version accessible from: </w:t>
      </w:r>
      <w:hyperlink r:id="rId9" w:history="1">
        <w:r w:rsidRPr="001559CD">
          <w:rPr>
            <w:rStyle w:val="Hyperlink"/>
            <w:rFonts w:ascii="Arial" w:hAnsi="Arial" w:cs="Arial"/>
            <w:color w:val="auto"/>
          </w:rPr>
          <w:t>https://www.havant.gov.uk/community-infrastructure-levy</w:t>
        </w:r>
      </w:hyperlink>
    </w:p>
    <w:p w14:paraId="5FD680FC" w14:textId="77777777" w:rsidR="00D81304" w:rsidRDefault="00D81304" w:rsidP="00D81304">
      <w:pPr>
        <w:autoSpaceDE w:val="0"/>
        <w:autoSpaceDN w:val="0"/>
        <w:adjustRightInd w:val="0"/>
        <w:spacing w:after="0" w:line="240" w:lineRule="auto"/>
        <w:rPr>
          <w:rFonts w:ascii="Arial" w:hAnsi="Arial" w:cs="Arial"/>
          <w:b/>
        </w:rPr>
      </w:pPr>
    </w:p>
    <w:p w14:paraId="431F354A" w14:textId="5120D9F4" w:rsidR="00D81304" w:rsidRDefault="00D81304" w:rsidP="00D81304">
      <w:pPr>
        <w:autoSpaceDE w:val="0"/>
        <w:autoSpaceDN w:val="0"/>
        <w:adjustRightInd w:val="0"/>
        <w:spacing w:after="0" w:line="240" w:lineRule="auto"/>
        <w:rPr>
          <w:rFonts w:ascii="Arial" w:hAnsi="Arial" w:cs="Arial"/>
        </w:rPr>
      </w:pPr>
      <w:r w:rsidRPr="00146D6D">
        <w:rPr>
          <w:rFonts w:ascii="Arial" w:hAnsi="Arial" w:cs="Arial"/>
          <w:b/>
        </w:rPr>
        <w:t xml:space="preserve">*Monitoring Fees:  </w:t>
      </w:r>
      <w:r w:rsidRPr="00146D6D">
        <w:rPr>
          <w:rFonts w:ascii="Arial" w:hAnsi="Arial" w:cs="Arial"/>
        </w:rPr>
        <w:t>As part of the ‘Heads of Terms’ it would be necessary to include monitoring fees.</w:t>
      </w:r>
      <w:r w:rsidRPr="00146D6D">
        <w:rPr>
          <w:rFonts w:ascii="Arial" w:hAnsi="Arial" w:cs="Arial"/>
          <w:b/>
        </w:rPr>
        <w:t xml:space="preserve"> </w:t>
      </w:r>
      <w:r w:rsidRPr="00146D6D">
        <w:rPr>
          <w:rFonts w:ascii="Arial" w:hAnsi="Arial" w:cs="Arial"/>
        </w:rPr>
        <w:t xml:space="preserve">The amended CIL Regulations effective 1/9/19 </w:t>
      </w:r>
      <w:r>
        <w:rPr>
          <w:rFonts w:ascii="Arial" w:hAnsi="Arial" w:cs="Arial"/>
        </w:rPr>
        <w:t>regularise</w:t>
      </w:r>
      <w:r w:rsidRPr="00146D6D">
        <w:rPr>
          <w:rFonts w:ascii="Arial" w:hAnsi="Arial" w:cs="Arial"/>
        </w:rPr>
        <w:t xml:space="preserve"> the collection of S106 monitoring fees. We already have an agreed schedule of charges and these are</w:t>
      </w:r>
      <w:r>
        <w:rPr>
          <w:rFonts w:ascii="Arial" w:hAnsi="Arial" w:cs="Arial"/>
        </w:rPr>
        <w:t xml:space="preserve"> set out below (updated figures provided</w:t>
      </w:r>
      <w:r w:rsidRPr="00146D6D">
        <w:rPr>
          <w:rFonts w:ascii="Arial" w:hAnsi="Arial" w:cs="Arial"/>
        </w:rPr>
        <w:t xml:space="preserve"> </w:t>
      </w:r>
      <w:r>
        <w:rPr>
          <w:rFonts w:ascii="Arial" w:hAnsi="Arial" w:cs="Arial"/>
        </w:rPr>
        <w:t>from 1/4/21):</w:t>
      </w:r>
    </w:p>
    <w:p w14:paraId="74563463" w14:textId="77777777" w:rsidR="00DF2A56" w:rsidRPr="006E6046" w:rsidRDefault="00DF2A56" w:rsidP="00D81304">
      <w:pPr>
        <w:autoSpaceDE w:val="0"/>
        <w:autoSpaceDN w:val="0"/>
        <w:adjustRightInd w:val="0"/>
        <w:spacing w:after="0" w:line="240" w:lineRule="auto"/>
        <w:rPr>
          <w:rFonts w:ascii="Arial" w:hAnsi="Arial" w:cs="Arial"/>
        </w:rPr>
      </w:pPr>
    </w:p>
    <w:p w14:paraId="1F4C2762" w14:textId="77777777" w:rsidR="00D81304" w:rsidRDefault="00D81304" w:rsidP="00D81304">
      <w:pPr>
        <w:rPr>
          <w:rFonts w:ascii="Arial" w:hAnsi="Arial" w:cs="Arial"/>
          <w:b/>
        </w:rPr>
      </w:pPr>
      <w:r>
        <w:rPr>
          <w:noProof/>
        </w:rPr>
        <w:drawing>
          <wp:inline distT="0" distB="0" distL="0" distR="0" wp14:anchorId="7288268E" wp14:editId="6C3C024F">
            <wp:extent cx="4496892" cy="423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99489" cy="4241073"/>
                    </a:xfrm>
                    <a:prstGeom prst="rect">
                      <a:avLst/>
                    </a:prstGeom>
                  </pic:spPr>
                </pic:pic>
              </a:graphicData>
            </a:graphic>
          </wp:inline>
        </w:drawing>
      </w:r>
    </w:p>
    <w:p w14:paraId="478FA9BA" w14:textId="77777777" w:rsidR="00D81304" w:rsidRPr="00BA5ACD" w:rsidRDefault="00D81304" w:rsidP="00D81304">
      <w:pPr>
        <w:rPr>
          <w:rFonts w:ascii="Arial" w:hAnsi="Arial" w:cs="Arial"/>
          <w:b/>
        </w:rPr>
      </w:pPr>
      <w:r>
        <w:rPr>
          <w:rFonts w:ascii="Arial" w:hAnsi="Arial" w:cs="Arial"/>
          <w:b/>
        </w:rPr>
        <w:t xml:space="preserve"> **</w:t>
      </w:r>
      <w:r w:rsidRPr="00BA5ACD">
        <w:rPr>
          <w:rFonts w:ascii="Arial" w:hAnsi="Arial" w:cs="Arial"/>
          <w:b/>
        </w:rPr>
        <w:t>Solent Recreation Mitigation Strategy</w:t>
      </w:r>
    </w:p>
    <w:p w14:paraId="6D6F1737" w14:textId="4D81638A" w:rsidR="00434BE6" w:rsidRDefault="00D81304" w:rsidP="00D81304">
      <w:pPr>
        <w:rPr>
          <w:rStyle w:val="Hyperlink"/>
          <w:rFonts w:ascii="Arial" w:hAnsi="Arial" w:cs="Arial"/>
        </w:rPr>
      </w:pPr>
      <w:r>
        <w:rPr>
          <w:rFonts w:ascii="Arial" w:hAnsi="Arial" w:cs="Arial"/>
        </w:rPr>
        <w:t>The updated charges from 1/4/2</w:t>
      </w:r>
      <w:r w:rsidR="00313629">
        <w:rPr>
          <w:rFonts w:ascii="Arial" w:hAnsi="Arial" w:cs="Arial"/>
        </w:rPr>
        <w:t>1</w:t>
      </w:r>
      <w:r>
        <w:rPr>
          <w:rFonts w:ascii="Arial" w:hAnsi="Arial" w:cs="Arial"/>
        </w:rPr>
        <w:t xml:space="preserve"> are set out below, b</w:t>
      </w:r>
      <w:r w:rsidRPr="00985E1B">
        <w:rPr>
          <w:rFonts w:ascii="Arial" w:hAnsi="Arial" w:cs="Arial"/>
        </w:rPr>
        <w:t xml:space="preserve">ased on </w:t>
      </w:r>
      <w:r>
        <w:rPr>
          <w:rFonts w:ascii="Arial" w:hAnsi="Arial" w:cs="Arial"/>
        </w:rPr>
        <w:t xml:space="preserve">the maximum </w:t>
      </w:r>
      <w:r w:rsidRPr="00985E1B">
        <w:rPr>
          <w:rFonts w:ascii="Arial" w:hAnsi="Arial" w:cs="Arial"/>
        </w:rPr>
        <w:t>number of dwellings and bedroom sizes</w:t>
      </w:r>
      <w:r>
        <w:rPr>
          <w:rFonts w:ascii="Arial" w:hAnsi="Arial" w:cs="Arial"/>
        </w:rPr>
        <w:t>;</w:t>
      </w:r>
      <w:r w:rsidRPr="00DE38F1">
        <w:rPr>
          <w:rFonts w:ascii="Arial" w:hAnsi="Arial" w:cs="Arial"/>
        </w:rPr>
        <w:t xml:space="preserve"> </w:t>
      </w:r>
      <w:r>
        <w:rPr>
          <w:rFonts w:ascii="Arial" w:hAnsi="Arial" w:cs="Arial"/>
        </w:rPr>
        <w:t xml:space="preserve">contribution will be indexed (RPI): </w:t>
      </w:r>
      <w:hyperlink r:id="rId11" w:history="1">
        <w:r w:rsidRPr="003563BC">
          <w:rPr>
            <w:rStyle w:val="Hyperlink"/>
            <w:rFonts w:ascii="Arial" w:hAnsi="Arial" w:cs="Arial"/>
          </w:rPr>
          <w:t>http://www.havant.gov.uk/unilateral-undertaking-solent-recreation-mitigation-strategy</w:t>
        </w:r>
      </w:hyperlink>
    </w:p>
    <w:p w14:paraId="77D48ACF" w14:textId="77777777" w:rsidR="00434BE6" w:rsidRDefault="00434BE6">
      <w:pPr>
        <w:spacing w:after="160" w:line="259" w:lineRule="auto"/>
        <w:rPr>
          <w:rStyle w:val="Hyperlink"/>
          <w:rFonts w:ascii="Arial" w:hAnsi="Arial" w:cs="Arial"/>
        </w:rPr>
      </w:pPr>
      <w:r>
        <w:rPr>
          <w:rStyle w:val="Hyperlink"/>
          <w:rFonts w:ascii="Arial" w:hAnsi="Arial" w:cs="Arial"/>
        </w:rPr>
        <w:br w:type="page"/>
      </w:r>
    </w:p>
    <w:tbl>
      <w:tblPr>
        <w:tblStyle w:val="TableGrid"/>
        <w:tblW w:w="0" w:type="auto"/>
        <w:jc w:val="center"/>
        <w:tblLook w:val="04A0" w:firstRow="1" w:lastRow="0" w:firstColumn="1" w:lastColumn="0" w:noHBand="0" w:noVBand="1"/>
      </w:tblPr>
      <w:tblGrid>
        <w:gridCol w:w="2247"/>
        <w:gridCol w:w="972"/>
        <w:gridCol w:w="5797"/>
      </w:tblGrid>
      <w:tr w:rsidR="00D81304" w:rsidRPr="00167782" w14:paraId="672471C7" w14:textId="77777777" w:rsidTr="00DA3ECA">
        <w:trPr>
          <w:trHeight w:val="542"/>
          <w:jc w:val="center"/>
        </w:trPr>
        <w:tc>
          <w:tcPr>
            <w:tcW w:w="2247" w:type="dxa"/>
          </w:tcPr>
          <w:p w14:paraId="59DA803B"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lastRenderedPageBreak/>
              <w:t>No of Bedrooms</w:t>
            </w:r>
            <w:r>
              <w:rPr>
                <w:rFonts w:ascii="Arial" w:hAnsi="Arial" w:cs="Arial"/>
                <w:b/>
                <w:sz w:val="20"/>
                <w:szCs w:val="20"/>
              </w:rPr>
              <w:t xml:space="preserve"> (per dwelling)</w:t>
            </w:r>
          </w:p>
        </w:tc>
        <w:tc>
          <w:tcPr>
            <w:tcW w:w="972" w:type="dxa"/>
          </w:tcPr>
          <w:p w14:paraId="2E763CF6"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b/>
                <w:sz w:val="20"/>
                <w:szCs w:val="20"/>
              </w:rPr>
            </w:pPr>
            <w:r w:rsidRPr="008D1DF8">
              <w:rPr>
                <w:rFonts w:ascii="Arial" w:hAnsi="Arial" w:cs="Arial"/>
                <w:b/>
                <w:sz w:val="20"/>
                <w:szCs w:val="20"/>
              </w:rPr>
              <w:t>Amount</w:t>
            </w:r>
          </w:p>
        </w:tc>
        <w:tc>
          <w:tcPr>
            <w:tcW w:w="5797" w:type="dxa"/>
          </w:tcPr>
          <w:p w14:paraId="090D87EE"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b/>
                <w:sz w:val="20"/>
                <w:szCs w:val="20"/>
              </w:rPr>
            </w:pPr>
            <w:r w:rsidRPr="008D1DF8">
              <w:rPr>
                <w:rFonts w:ascii="Arial" w:hAnsi="Arial" w:cs="Arial"/>
                <w:b/>
                <w:sz w:val="20"/>
                <w:szCs w:val="20"/>
              </w:rPr>
              <w:t>Monitoring Fee</w:t>
            </w:r>
          </w:p>
        </w:tc>
      </w:tr>
      <w:tr w:rsidR="00D81304" w:rsidRPr="00167782" w14:paraId="1F6CB00D" w14:textId="77777777" w:rsidTr="00DA3ECA">
        <w:trPr>
          <w:trHeight w:val="451"/>
          <w:jc w:val="center"/>
        </w:trPr>
        <w:tc>
          <w:tcPr>
            <w:tcW w:w="2247" w:type="dxa"/>
          </w:tcPr>
          <w:p w14:paraId="7C2DC198"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1</w:t>
            </w:r>
          </w:p>
        </w:tc>
        <w:tc>
          <w:tcPr>
            <w:tcW w:w="972" w:type="dxa"/>
          </w:tcPr>
          <w:p w14:paraId="0268F06A"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361.00</w:t>
            </w:r>
          </w:p>
        </w:tc>
        <w:tc>
          <w:tcPr>
            <w:tcW w:w="5797" w:type="dxa"/>
            <w:vMerge w:val="restart"/>
          </w:tcPr>
          <w:p w14:paraId="0EDBC04B"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sz w:val="20"/>
                <w:szCs w:val="20"/>
              </w:rPr>
            </w:pPr>
            <w:r w:rsidRPr="008D1DF8">
              <w:rPr>
                <w:rFonts w:ascii="Arial" w:hAnsi="Arial" w:cs="Arial"/>
                <w:sz w:val="20"/>
                <w:szCs w:val="20"/>
              </w:rPr>
              <w:t>Plus 5% of total (sum may be included in ‘Monitoring Fees’ outlined at point 2)</w:t>
            </w:r>
          </w:p>
        </w:tc>
      </w:tr>
      <w:tr w:rsidR="00D81304" w:rsidRPr="00167782" w14:paraId="07A7A0AA" w14:textId="77777777" w:rsidTr="00DA3ECA">
        <w:trPr>
          <w:trHeight w:val="451"/>
          <w:jc w:val="center"/>
        </w:trPr>
        <w:tc>
          <w:tcPr>
            <w:tcW w:w="2247" w:type="dxa"/>
          </w:tcPr>
          <w:p w14:paraId="27AAB30C"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2</w:t>
            </w:r>
          </w:p>
        </w:tc>
        <w:tc>
          <w:tcPr>
            <w:tcW w:w="972" w:type="dxa"/>
          </w:tcPr>
          <w:p w14:paraId="5AA3A268"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522.00</w:t>
            </w:r>
          </w:p>
        </w:tc>
        <w:tc>
          <w:tcPr>
            <w:tcW w:w="5797" w:type="dxa"/>
            <w:vMerge/>
          </w:tcPr>
          <w:p w14:paraId="529A61D2" w14:textId="77777777" w:rsidR="00D81304" w:rsidRPr="00167782"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D81304" w:rsidRPr="00167782" w14:paraId="665B4BFB" w14:textId="77777777" w:rsidTr="00DA3ECA">
        <w:trPr>
          <w:trHeight w:val="451"/>
          <w:jc w:val="center"/>
        </w:trPr>
        <w:tc>
          <w:tcPr>
            <w:tcW w:w="2247" w:type="dxa"/>
          </w:tcPr>
          <w:p w14:paraId="44CB5866"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3</w:t>
            </w:r>
          </w:p>
        </w:tc>
        <w:tc>
          <w:tcPr>
            <w:tcW w:w="972" w:type="dxa"/>
          </w:tcPr>
          <w:p w14:paraId="480B1533"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681.00</w:t>
            </w:r>
          </w:p>
        </w:tc>
        <w:tc>
          <w:tcPr>
            <w:tcW w:w="5797" w:type="dxa"/>
            <w:vMerge/>
          </w:tcPr>
          <w:p w14:paraId="6C391EB1" w14:textId="77777777" w:rsidR="00D81304" w:rsidRPr="00167782"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D81304" w:rsidRPr="00167782" w14:paraId="28DEFD13" w14:textId="77777777" w:rsidTr="00DA3ECA">
        <w:trPr>
          <w:trHeight w:val="451"/>
          <w:jc w:val="center"/>
        </w:trPr>
        <w:tc>
          <w:tcPr>
            <w:tcW w:w="2247" w:type="dxa"/>
          </w:tcPr>
          <w:p w14:paraId="577EDABD"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4</w:t>
            </w:r>
          </w:p>
        </w:tc>
        <w:tc>
          <w:tcPr>
            <w:tcW w:w="972" w:type="dxa"/>
          </w:tcPr>
          <w:p w14:paraId="389A567C"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801.00</w:t>
            </w:r>
          </w:p>
        </w:tc>
        <w:tc>
          <w:tcPr>
            <w:tcW w:w="5797" w:type="dxa"/>
            <w:vMerge/>
          </w:tcPr>
          <w:p w14:paraId="13F49403" w14:textId="77777777" w:rsidR="00D81304" w:rsidRPr="00167782"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r w:rsidR="00D81304" w:rsidRPr="00167782" w14:paraId="4681F238" w14:textId="77777777" w:rsidTr="00DA3ECA">
        <w:trPr>
          <w:trHeight w:val="70"/>
          <w:jc w:val="center"/>
        </w:trPr>
        <w:tc>
          <w:tcPr>
            <w:tcW w:w="2247" w:type="dxa"/>
          </w:tcPr>
          <w:p w14:paraId="0D9F8E68"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rFonts w:ascii="Arial" w:hAnsi="Arial" w:cs="Arial"/>
                <w:sz w:val="20"/>
                <w:szCs w:val="20"/>
              </w:rPr>
            </w:pPr>
            <w:r w:rsidRPr="008D1DF8">
              <w:rPr>
                <w:rFonts w:ascii="Arial" w:hAnsi="Arial" w:cs="Arial"/>
                <w:sz w:val="20"/>
                <w:szCs w:val="20"/>
              </w:rPr>
              <w:t>5+</w:t>
            </w:r>
          </w:p>
        </w:tc>
        <w:tc>
          <w:tcPr>
            <w:tcW w:w="972" w:type="dxa"/>
          </w:tcPr>
          <w:p w14:paraId="3D26F0B7" w14:textId="77777777" w:rsidR="00D81304" w:rsidRPr="008D1DF8"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jc w:val="right"/>
              <w:rPr>
                <w:rFonts w:ascii="Arial" w:hAnsi="Arial" w:cs="Arial"/>
                <w:sz w:val="20"/>
                <w:szCs w:val="20"/>
              </w:rPr>
            </w:pPr>
            <w:r w:rsidRPr="008D1DF8">
              <w:rPr>
                <w:rFonts w:ascii="Arial" w:hAnsi="Arial" w:cs="Arial"/>
                <w:sz w:val="20"/>
                <w:szCs w:val="20"/>
              </w:rPr>
              <w:t>£</w:t>
            </w:r>
            <w:r>
              <w:rPr>
                <w:rFonts w:ascii="Arial" w:hAnsi="Arial" w:cs="Arial"/>
                <w:sz w:val="20"/>
                <w:szCs w:val="20"/>
              </w:rPr>
              <w:t>940.00</w:t>
            </w:r>
          </w:p>
        </w:tc>
        <w:tc>
          <w:tcPr>
            <w:tcW w:w="5797" w:type="dxa"/>
            <w:vMerge/>
          </w:tcPr>
          <w:p w14:paraId="19ED7A85" w14:textId="77777777" w:rsidR="00D81304" w:rsidRPr="00167782" w:rsidRDefault="00D81304" w:rsidP="00865A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rPr>
                <w:rFonts w:ascii="Arial" w:hAnsi="Arial" w:cs="Arial"/>
              </w:rPr>
            </w:pPr>
          </w:p>
        </w:tc>
      </w:tr>
    </w:tbl>
    <w:p w14:paraId="02362723" w14:textId="77777777" w:rsidR="00D81304" w:rsidRPr="00BA5ACD" w:rsidRDefault="00D81304" w:rsidP="00D81304">
      <w:pPr>
        <w:rPr>
          <w:rFonts w:ascii="Arial" w:hAnsi="Arial" w:cs="Arial"/>
          <w:b/>
        </w:rPr>
      </w:pPr>
    </w:p>
    <w:p w14:paraId="5AD2BB20" w14:textId="77777777" w:rsidR="00D81304" w:rsidRPr="00D81304" w:rsidRDefault="00D81304" w:rsidP="00D81304">
      <w:pPr>
        <w:rPr>
          <w:rFonts w:ascii="Arial" w:hAnsi="Arial" w:cs="Arial"/>
        </w:rPr>
      </w:pPr>
    </w:p>
    <w:sectPr w:rsidR="00D81304" w:rsidRPr="00D8130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C6B1B9" w14:textId="77777777" w:rsidR="00DA3ECA" w:rsidRDefault="00DA3ECA" w:rsidP="00DA3ECA">
      <w:pPr>
        <w:spacing w:after="0" w:line="240" w:lineRule="auto"/>
      </w:pPr>
      <w:r>
        <w:separator/>
      </w:r>
    </w:p>
  </w:endnote>
  <w:endnote w:type="continuationSeparator" w:id="0">
    <w:p w14:paraId="44C22EB9" w14:textId="77777777" w:rsidR="00DA3ECA" w:rsidRDefault="00DA3ECA" w:rsidP="00DA3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6623872"/>
      <w:docPartObj>
        <w:docPartGallery w:val="Page Numbers (Bottom of Page)"/>
        <w:docPartUnique/>
      </w:docPartObj>
    </w:sdtPr>
    <w:sdtEndPr>
      <w:rPr>
        <w:noProof/>
      </w:rPr>
    </w:sdtEndPr>
    <w:sdtContent>
      <w:p w14:paraId="5F09D43F" w14:textId="4D4DE92E" w:rsidR="00DA3ECA" w:rsidRDefault="00DA3E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70C4E" w14:textId="77777777" w:rsidR="00DA3ECA" w:rsidRDefault="00DA3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4DA84" w14:textId="77777777" w:rsidR="00DA3ECA" w:rsidRDefault="00DA3ECA" w:rsidP="00DA3ECA">
      <w:pPr>
        <w:spacing w:after="0" w:line="240" w:lineRule="auto"/>
      </w:pPr>
      <w:r>
        <w:separator/>
      </w:r>
    </w:p>
  </w:footnote>
  <w:footnote w:type="continuationSeparator" w:id="0">
    <w:p w14:paraId="135F606B" w14:textId="77777777" w:rsidR="00DA3ECA" w:rsidRDefault="00DA3ECA" w:rsidP="00DA3E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7D2C75"/>
    <w:multiLevelType w:val="hybridMultilevel"/>
    <w:tmpl w:val="8B86F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5B1727"/>
    <w:multiLevelType w:val="hybridMultilevel"/>
    <w:tmpl w:val="D4DA3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B0EE3"/>
    <w:rsid w:val="000B198B"/>
    <w:rsid w:val="00146D6D"/>
    <w:rsid w:val="001544FE"/>
    <w:rsid w:val="001C0A55"/>
    <w:rsid w:val="00242FF1"/>
    <w:rsid w:val="002A1652"/>
    <w:rsid w:val="002A6D3D"/>
    <w:rsid w:val="002C026A"/>
    <w:rsid w:val="002E39E5"/>
    <w:rsid w:val="00313624"/>
    <w:rsid w:val="00313629"/>
    <w:rsid w:val="00314489"/>
    <w:rsid w:val="003A3A79"/>
    <w:rsid w:val="003F7561"/>
    <w:rsid w:val="00434BE6"/>
    <w:rsid w:val="00472E88"/>
    <w:rsid w:val="004829B0"/>
    <w:rsid w:val="004D755C"/>
    <w:rsid w:val="005105C0"/>
    <w:rsid w:val="00516871"/>
    <w:rsid w:val="00556980"/>
    <w:rsid w:val="00561189"/>
    <w:rsid w:val="00573551"/>
    <w:rsid w:val="005B56A3"/>
    <w:rsid w:val="005B72AD"/>
    <w:rsid w:val="005C34ED"/>
    <w:rsid w:val="00676677"/>
    <w:rsid w:val="006A6818"/>
    <w:rsid w:val="00791DE2"/>
    <w:rsid w:val="007F0B17"/>
    <w:rsid w:val="00812CB0"/>
    <w:rsid w:val="00852957"/>
    <w:rsid w:val="00871F04"/>
    <w:rsid w:val="008C6592"/>
    <w:rsid w:val="008C6D1F"/>
    <w:rsid w:val="008D1DF8"/>
    <w:rsid w:val="008E4FEE"/>
    <w:rsid w:val="00A328B9"/>
    <w:rsid w:val="00A51637"/>
    <w:rsid w:val="00AB77F8"/>
    <w:rsid w:val="00AC3E43"/>
    <w:rsid w:val="00AF57BE"/>
    <w:rsid w:val="00B01433"/>
    <w:rsid w:val="00B35C8A"/>
    <w:rsid w:val="00B42EC3"/>
    <w:rsid w:val="00B81441"/>
    <w:rsid w:val="00BA2C1D"/>
    <w:rsid w:val="00C05A0A"/>
    <w:rsid w:val="00C15E49"/>
    <w:rsid w:val="00C236EB"/>
    <w:rsid w:val="00CF5FD5"/>
    <w:rsid w:val="00D643AE"/>
    <w:rsid w:val="00D81304"/>
    <w:rsid w:val="00D87C30"/>
    <w:rsid w:val="00DA3ECA"/>
    <w:rsid w:val="00DE236E"/>
    <w:rsid w:val="00DE2EA2"/>
    <w:rsid w:val="00DE33F2"/>
    <w:rsid w:val="00DF2A56"/>
    <w:rsid w:val="00E02F42"/>
    <w:rsid w:val="00E07381"/>
    <w:rsid w:val="00E533D9"/>
    <w:rsid w:val="00EB4758"/>
    <w:rsid w:val="00EE057E"/>
    <w:rsid w:val="00F21E15"/>
    <w:rsid w:val="00F4604C"/>
    <w:rsid w:val="00F96359"/>
    <w:rsid w:val="00FA6226"/>
    <w:rsid w:val="00FC3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semiHidden/>
    <w:unhideWhenUsed/>
    <w:rsid w:val="004D755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A3E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ECA"/>
  </w:style>
  <w:style w:type="paragraph" w:styleId="Footer">
    <w:name w:val="footer"/>
    <w:basedOn w:val="Normal"/>
    <w:link w:val="FooterChar"/>
    <w:uiPriority w:val="99"/>
    <w:unhideWhenUsed/>
    <w:rsid w:val="00DA3E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1235551">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nitrogen-develope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avant.gov.uk/unilateral-undertaking-solent-recreation-mitigation-strategy"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havant.gov.uk/community-infrastructure-lev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Weaver, Louise</cp:lastModifiedBy>
  <cp:revision>6</cp:revision>
  <cp:lastPrinted>2021-03-08T14:50:00Z</cp:lastPrinted>
  <dcterms:created xsi:type="dcterms:W3CDTF">2021-11-05T14:12:00Z</dcterms:created>
  <dcterms:modified xsi:type="dcterms:W3CDTF">2021-11-05T14:31:00Z</dcterms:modified>
</cp:coreProperties>
</file>