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020C51" w14:textId="77777777" w:rsidR="00C0151E" w:rsidRDefault="00C0151E" w:rsidP="00C0151E">
      <w:r>
        <w:t>Hi Lewis,</w:t>
      </w:r>
    </w:p>
    <w:p w14:paraId="569F5F55" w14:textId="77777777" w:rsidR="00C0151E" w:rsidRDefault="00C0151E" w:rsidP="00C0151E"/>
    <w:p w14:paraId="3B192CE6" w14:textId="77777777" w:rsidR="00C0151E" w:rsidRDefault="00C0151E" w:rsidP="00C0151E">
      <w:r>
        <w:t xml:space="preserve">I have now spoken with our consultant and the issue with the figure 8 as flagged by the nutrients policy officer is due to the NE spread sheet rounding up figures in the spread sheet field. The actual figure used for the calculations is 8.334 and I attach the raw excel spreadsheet where this can be seen if you click on the ‘number of units proposed’ field. </w:t>
      </w:r>
      <w:proofErr w:type="gramStart"/>
      <w:r>
        <w:t>So</w:t>
      </w:r>
      <w:proofErr w:type="gramEnd"/>
      <w:r>
        <w:t xml:space="preserve"> the calcs are based on 8.334 to give a load based on 20 people. </w:t>
      </w:r>
    </w:p>
    <w:p w14:paraId="4FDC5868" w14:textId="77777777" w:rsidR="00C0151E" w:rsidRDefault="00C0151E" w:rsidP="00C0151E"/>
    <w:p w14:paraId="53387A5A" w14:textId="77777777" w:rsidR="00C0151E" w:rsidRDefault="00C0151E" w:rsidP="00C0151E">
      <w:r>
        <w:t>With regards the ownership and category of the land. The front section which has been a car wash for the last 10 years has a small section of land behind which is all in the same ownership. This totals 400sqm of the site.</w:t>
      </w:r>
    </w:p>
    <w:p w14:paraId="38BAB01A" w14:textId="77777777" w:rsidR="00C0151E" w:rsidRDefault="00C0151E" w:rsidP="00C0151E"/>
    <w:p w14:paraId="6D02B461" w14:textId="77777777" w:rsidR="00C0151E" w:rsidRDefault="00C0151E" w:rsidP="00C0151E">
      <w:r>
        <w:t xml:space="preserve">The rear section of land which totals 2,500sqm and was originally part of the curtilage of the surrounding houses as additional allotments. These have been bought up by the owner of the rear of the site over the last 10-15 years and the land is currently vacant (with some neighbouring residents allowed to use it for allotment use on a temporary basis. As such the calculation has been amended to categorise the land as open space/ greenfield given the evidence of it being part of the urban development is disjointed. </w:t>
      </w:r>
    </w:p>
    <w:p w14:paraId="1BCECC66" w14:textId="77777777" w:rsidR="00C0151E" w:rsidRDefault="00C0151E" w:rsidP="00C0151E"/>
    <w:p w14:paraId="678432E7" w14:textId="77777777" w:rsidR="00C0151E" w:rsidRDefault="00C0151E" w:rsidP="00C0151E">
      <w:proofErr w:type="gramStart"/>
      <w:r>
        <w:t>Therefore</w:t>
      </w:r>
      <w:proofErr w:type="gramEnd"/>
      <w:r>
        <w:t xml:space="preserve"> the calculation has been revised and the Total Nitrogen Load has increased from 7.6 to 9.3kg per year. </w:t>
      </w:r>
    </w:p>
    <w:p w14:paraId="55A1BD8E" w14:textId="77777777" w:rsidR="00C0151E" w:rsidRDefault="00C0151E" w:rsidP="00C0151E"/>
    <w:p w14:paraId="5ABDD194" w14:textId="38F1D12B" w:rsidR="00795C2E" w:rsidRDefault="00C0151E" w:rsidP="00C0151E">
      <w:r>
        <w:t>I trust this revised information clarifies this matter.</w:t>
      </w:r>
    </w:p>
    <w:sectPr w:rsidR="00795C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51E"/>
    <w:rsid w:val="00795C2E"/>
    <w:rsid w:val="00C01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E2634"/>
  <w15:chartTrackingRefBased/>
  <w15:docId w15:val="{76F9C876-E1BE-470E-99F1-5DEC26E5D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1153</Characters>
  <Application>Microsoft Office Word</Application>
  <DocSecurity>0</DocSecurity>
  <Lines>9</Lines>
  <Paragraphs>2</Paragraphs>
  <ScaleCrop>false</ScaleCrop>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Lewis</dc:creator>
  <cp:keywords/>
  <dc:description/>
  <cp:lastModifiedBy>Oliver, Lewis</cp:lastModifiedBy>
  <cp:revision>1</cp:revision>
  <dcterms:created xsi:type="dcterms:W3CDTF">2021-08-16T09:49:00Z</dcterms:created>
  <dcterms:modified xsi:type="dcterms:W3CDTF">2021-08-16T09:50:00Z</dcterms:modified>
</cp:coreProperties>
</file>