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6899EB37" w14:textId="7CC57A96" w:rsidR="00F91FE6" w:rsidRPr="00F53FAB" w:rsidRDefault="00F91FE6" w:rsidP="00852456">
      <w:pPr>
        <w:jc w:val="both"/>
        <w:rPr>
          <w:rFonts w:cstheme="minorHAnsi"/>
          <w:b/>
          <w:u w:val="single"/>
        </w:rPr>
      </w:pPr>
      <w:r w:rsidRPr="00F53FAB">
        <w:rPr>
          <w:rFonts w:cstheme="minorHAnsi"/>
          <w:b/>
          <w:u w:val="single"/>
        </w:rPr>
        <w:t>Date –</w:t>
      </w:r>
      <w:r w:rsidR="00F53FAB" w:rsidRPr="00F53FAB">
        <w:rPr>
          <w:rFonts w:cstheme="minorHAnsi"/>
          <w:b/>
          <w:u w:val="single"/>
        </w:rPr>
        <w:t xml:space="preserve"> </w:t>
      </w:r>
      <w:r w:rsidR="008E68E9">
        <w:rPr>
          <w:rFonts w:cstheme="minorHAnsi"/>
          <w:b/>
          <w:u w:val="single"/>
        </w:rPr>
        <w:t>1</w:t>
      </w:r>
      <w:r w:rsidR="003B5304">
        <w:rPr>
          <w:rFonts w:cstheme="minorHAnsi"/>
          <w:b/>
          <w:u w:val="single"/>
        </w:rPr>
        <w:t>6</w:t>
      </w:r>
      <w:r w:rsidR="008E68E9">
        <w:rPr>
          <w:rFonts w:cstheme="minorHAnsi"/>
          <w:b/>
          <w:u w:val="single"/>
        </w:rPr>
        <w:t>/11/21</w:t>
      </w:r>
    </w:p>
    <w:p w14:paraId="2236B633" w14:textId="10F26D5A" w:rsidR="008E68E9" w:rsidRDefault="00E236AF" w:rsidP="008E68E9">
      <w:pPr>
        <w:jc w:val="both"/>
        <w:rPr>
          <w:rFonts w:cstheme="minorHAnsi"/>
          <w:b/>
          <w:u w:val="single"/>
        </w:rPr>
      </w:pPr>
      <w:r w:rsidRPr="00F53FAB">
        <w:rPr>
          <w:rFonts w:cstheme="minorHAnsi"/>
          <w:b/>
          <w:u w:val="single"/>
        </w:rPr>
        <w:t>A</w:t>
      </w:r>
      <w:r w:rsidR="00852456" w:rsidRPr="00F53FAB">
        <w:rPr>
          <w:rFonts w:cstheme="minorHAnsi"/>
          <w:b/>
          <w:u w:val="single"/>
        </w:rPr>
        <w:t>PP/</w:t>
      </w:r>
      <w:r w:rsidR="008E68E9">
        <w:rPr>
          <w:rFonts w:cstheme="minorHAnsi"/>
          <w:b/>
          <w:u w:val="single"/>
        </w:rPr>
        <w:t>21/01904</w:t>
      </w:r>
    </w:p>
    <w:p w14:paraId="55C7181B" w14:textId="3F59BDB5" w:rsidR="008E68E9" w:rsidRPr="008E68E9" w:rsidRDefault="008E68E9" w:rsidP="008E68E9">
      <w:pPr>
        <w:jc w:val="both"/>
        <w:rPr>
          <w:rFonts w:cstheme="minorHAnsi"/>
          <w:b/>
          <w:u w:val="single"/>
        </w:rPr>
      </w:pPr>
      <w:r w:rsidRPr="00892D27">
        <w:rPr>
          <w:rFonts w:cstheme="minorHAnsi"/>
          <w:b/>
          <w:bCs/>
          <w:u w:val="single"/>
        </w:rPr>
        <w:t xml:space="preserve">LBC description - </w:t>
      </w:r>
    </w:p>
    <w:p w14:paraId="0439FDDE" w14:textId="4519FC57" w:rsidR="008E68E9" w:rsidRPr="002C34CA" w:rsidRDefault="008E68E9" w:rsidP="008E68E9">
      <w:pPr>
        <w:pStyle w:val="Normal0"/>
        <w:rPr>
          <w:rFonts w:asciiTheme="minorHAnsi" w:hAnsiTheme="minorHAnsi" w:cstheme="minorHAnsi"/>
          <w:sz w:val="22"/>
          <w:szCs w:val="22"/>
        </w:rPr>
      </w:pPr>
      <w:r w:rsidRPr="002C34CA">
        <w:rPr>
          <w:rFonts w:asciiTheme="minorHAnsi" w:hAnsiTheme="minorHAnsi" w:cstheme="minorHAnsi"/>
          <w:sz w:val="22"/>
          <w:szCs w:val="22"/>
        </w:rPr>
        <w:t>Listed building consent to replace 3No. existing plastic doors with wooden french doors on first floor (south elevation); replace 1No. existing south elevation ground floor window with new single glazed window of same design.</w:t>
      </w:r>
    </w:p>
    <w:p w14:paraId="0E8EA1C9" w14:textId="3FCCF1D5" w:rsidR="00F53FAB" w:rsidRDefault="00F53FAB" w:rsidP="00F53FAB">
      <w:pPr>
        <w:pStyle w:val="Normal0"/>
        <w:rPr>
          <w:rFonts w:asciiTheme="minorHAnsi" w:hAnsiTheme="minorHAnsi" w:cstheme="minorHAnsi"/>
          <w:sz w:val="22"/>
          <w:szCs w:val="22"/>
        </w:rPr>
      </w:pPr>
    </w:p>
    <w:p w14:paraId="61AF0044" w14:textId="15EABE66" w:rsidR="00127AC6" w:rsidRDefault="00127AC6" w:rsidP="00852456">
      <w:pPr>
        <w:jc w:val="both"/>
        <w:rPr>
          <w:b/>
          <w:u w:val="single"/>
        </w:rPr>
      </w:pPr>
      <w:r>
        <w:rPr>
          <w:b/>
          <w:u w:val="single"/>
        </w:rPr>
        <w:t xml:space="preserve">The Site </w:t>
      </w:r>
    </w:p>
    <w:p w14:paraId="2CE0940C" w14:textId="77777777" w:rsidR="002C34CA" w:rsidRDefault="008E68E9" w:rsidP="00852456">
      <w:pPr>
        <w:jc w:val="both"/>
        <w:rPr>
          <w:bCs/>
        </w:rPr>
      </w:pPr>
      <w:r w:rsidRPr="008E68E9">
        <w:rPr>
          <w:bCs/>
        </w:rPr>
        <w:t xml:space="preserve">The site </w:t>
      </w:r>
      <w:r>
        <w:rPr>
          <w:bCs/>
        </w:rPr>
        <w:t xml:space="preserve">is an end of terrace, 4-storey residential block of apartments in a building collectively known as Norfolk Terrace or the Crescent at No. 53 Sea Front. It faces onto the Solent.  The Crescent is Grade II listed dating back to 1822. It was meant to be a complete crescent shape however, the development was never finished. The terraces were originally large houses however, all have been split into apartments over many years. </w:t>
      </w:r>
    </w:p>
    <w:p w14:paraId="7A703392" w14:textId="70ED1176" w:rsidR="002C34CA" w:rsidRPr="008E68E9" w:rsidRDefault="008E68E9" w:rsidP="00852456">
      <w:pPr>
        <w:jc w:val="both"/>
        <w:rPr>
          <w:bCs/>
        </w:rPr>
      </w:pPr>
      <w:r>
        <w:rPr>
          <w:bCs/>
        </w:rPr>
        <w:t xml:space="preserve">Most of the properties have suffered </w:t>
      </w:r>
      <w:r w:rsidR="002C34CA">
        <w:rPr>
          <w:bCs/>
        </w:rPr>
        <w:t xml:space="preserve">unlawful </w:t>
      </w:r>
      <w:r>
        <w:rPr>
          <w:bCs/>
        </w:rPr>
        <w:t xml:space="preserve">unsympathetic alterations including UPVC windows and the loss of historic features.  </w:t>
      </w:r>
      <w:r w:rsidR="002C34CA">
        <w:rPr>
          <w:bCs/>
        </w:rPr>
        <w:t xml:space="preserve">No. 53 is one of these properties with the large first floor balcony doors having been changed to UPVc tilt and turn windows.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30CBB1D5"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08EF1D43" w14:textId="77777777" w:rsidR="00A619FE" w:rsidRDefault="00A619FE" w:rsidP="00A619FE">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58424B03" w14:textId="0441AB0B" w:rsidR="00A619FE" w:rsidRPr="003204D6" w:rsidRDefault="00A619FE" w:rsidP="00A619FE">
      <w:pPr>
        <w:jc w:val="both"/>
      </w:pPr>
      <w:r w:rsidRPr="003204D6">
        <w:t>18</w:t>
      </w:r>
      <w:r>
        <w:t>9</w:t>
      </w:r>
      <w:r w:rsidRPr="003204D6">
        <w:t xml:space="preserve">. Heritage assets range from sites and buildings of local historic value to those of the highest significance, such as World Heritage Sites which are internationally recognised to be of Outstanding Universal Value. These assets are an irreplaceable </w:t>
      </w:r>
      <w:r w:rsidR="002C34CA" w:rsidRPr="003204D6">
        <w:t>resource and</w:t>
      </w:r>
      <w:r w:rsidRPr="003204D6">
        <w:t xml:space="preserve"> should be conserved in a manner appropriate to their significance, so that they can be enjoyed for their contribution to the quality of life of existing and future generations.</w:t>
      </w:r>
    </w:p>
    <w:p w14:paraId="02448A5C" w14:textId="77777777" w:rsidR="00A619FE" w:rsidRPr="003204D6" w:rsidRDefault="00A619FE" w:rsidP="00A619FE">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A7C9DDA" w14:textId="77777777" w:rsidR="00A619FE" w:rsidRPr="003204D6" w:rsidRDefault="00A619FE" w:rsidP="00A619FE">
      <w:pPr>
        <w:jc w:val="both"/>
      </w:pPr>
      <w:r w:rsidRPr="003204D6">
        <w:lastRenderedPageBreak/>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39C0710A" w14:textId="77777777" w:rsidR="00A619FE" w:rsidRPr="003204D6" w:rsidRDefault="00A619FE" w:rsidP="00A619FE">
      <w:pPr>
        <w:jc w:val="both"/>
      </w:pPr>
      <w:r w:rsidRPr="003204D6">
        <w:t>19</w:t>
      </w:r>
      <w:r>
        <w:t>6</w:t>
      </w:r>
      <w:r w:rsidRPr="003204D6">
        <w:t xml:space="preserve">. Where there is evidence of deliberate neglect of, or damage to, a heritage asset, the deteriorated state of the heritage asset should not be taken into account in any decision. </w:t>
      </w:r>
    </w:p>
    <w:p w14:paraId="26BD69FF" w14:textId="77777777" w:rsidR="00A619FE" w:rsidRPr="003204D6" w:rsidRDefault="00A619FE" w:rsidP="00A619FE">
      <w:pPr>
        <w:jc w:val="both"/>
      </w:pPr>
      <w:r w:rsidRPr="003204D6">
        <w:t>1</w:t>
      </w:r>
      <w:r>
        <w:t>97</w:t>
      </w:r>
      <w:r w:rsidRPr="003204D6">
        <w:t xml:space="preserve">. In determining applications, local planning authorities should take account of: </w:t>
      </w:r>
    </w:p>
    <w:p w14:paraId="4B981B8D" w14:textId="77777777" w:rsidR="00A619FE" w:rsidRPr="003204D6" w:rsidRDefault="00A619FE" w:rsidP="00A619FE">
      <w:pPr>
        <w:jc w:val="both"/>
      </w:pPr>
      <w:r w:rsidRPr="003204D6">
        <w:t xml:space="preserve">a) the desirability of sustaining and enhancing the significance of heritage assets and putting them to viable uses consistent with their conservation; </w:t>
      </w:r>
    </w:p>
    <w:p w14:paraId="2565C7BE" w14:textId="77777777" w:rsidR="00A619FE" w:rsidRPr="003204D6" w:rsidRDefault="00A619FE" w:rsidP="00A619FE">
      <w:pPr>
        <w:jc w:val="both"/>
      </w:pPr>
      <w:r w:rsidRPr="003204D6">
        <w:t xml:space="preserve">b) the positive contribution that conservation of heritage assets can make to sustainable communities including their economic vitality; and </w:t>
      </w:r>
    </w:p>
    <w:p w14:paraId="4CAC7D7E" w14:textId="77777777" w:rsidR="00A619FE" w:rsidRDefault="00A619FE" w:rsidP="00A619FE">
      <w:pPr>
        <w:jc w:val="both"/>
      </w:pPr>
      <w:r w:rsidRPr="003204D6">
        <w:t>c) the desirability of new development making a positive contribution to local character and distinctiveness.</w:t>
      </w:r>
    </w:p>
    <w:p w14:paraId="105730D4" w14:textId="77777777" w:rsidR="00A619FE" w:rsidRPr="003204D6" w:rsidRDefault="00A619FE" w:rsidP="00A619FE">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BF8F7A0" w14:textId="77777777" w:rsidR="00A619FE" w:rsidRPr="003204D6" w:rsidRDefault="00A619FE" w:rsidP="00A619FE">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1940A153" w14:textId="77777777" w:rsidR="00A619FE" w:rsidRPr="003204D6" w:rsidRDefault="00A619FE" w:rsidP="00A619FE">
      <w:pPr>
        <w:jc w:val="both"/>
      </w:pPr>
      <w:r w:rsidRPr="003204D6">
        <w:t xml:space="preserve">a) grade II listed buildings, or grade II registered parks or gardens, should be exceptional; </w:t>
      </w:r>
    </w:p>
    <w:p w14:paraId="5F79ABB7" w14:textId="77777777" w:rsidR="00A619FE" w:rsidRDefault="00A619FE" w:rsidP="00A619FE">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59BD7F05" w14:textId="77777777" w:rsidR="00A619FE" w:rsidRPr="00CC264F" w:rsidRDefault="00A619FE" w:rsidP="00A619FE">
      <w:pPr>
        <w:jc w:val="both"/>
        <w:rPr>
          <w:b/>
          <w:u w:val="single"/>
        </w:rPr>
      </w:pPr>
      <w:r w:rsidRPr="00CC264F">
        <w:rPr>
          <w:b/>
          <w:u w:val="single"/>
        </w:rPr>
        <w:t xml:space="preserve">Historic England Advice </w:t>
      </w:r>
    </w:p>
    <w:p w14:paraId="55BEC01A" w14:textId="6FC411C3" w:rsidR="00A619FE" w:rsidRPr="003204D6" w:rsidRDefault="00A619FE" w:rsidP="00A619FE">
      <w:pPr>
        <w:jc w:val="both"/>
      </w:pPr>
      <w:r>
        <w:t>In addition to the advice laid out in the NPPF, Historic England has published planning advice in the form of Good Practice Advice Notes (GPA’s) and Historic England Advice Notes (HEANs). Most relevant to this application will be GPA2 – Managing Significance in Decision Taking in the Historic Environment</w:t>
      </w:r>
      <w:r w:rsidR="00374B6B">
        <w:t>.</w:t>
      </w:r>
    </w:p>
    <w:p w14:paraId="11DC84C2" w14:textId="77777777" w:rsidR="00A619FE" w:rsidRDefault="00A619FE" w:rsidP="00A619FE">
      <w:pPr>
        <w:autoSpaceDE w:val="0"/>
        <w:autoSpaceDN w:val="0"/>
        <w:adjustRightInd w:val="0"/>
        <w:spacing w:after="0" w:line="240" w:lineRule="auto"/>
        <w:jc w:val="both"/>
      </w:pPr>
      <w:r>
        <w:t xml:space="preserve">GPA2 </w:t>
      </w:r>
      <w:r w:rsidRPr="003204D6">
        <w:t>states at paragraph 4</w:t>
      </w:r>
      <w:r>
        <w:t xml:space="preserve"> - </w:t>
      </w:r>
      <w:r w:rsidRPr="003204D6">
        <w:t>‘The significance of a heritage asset is the sum of its archaeological, architectural, historic, and artistic interest’</w:t>
      </w:r>
      <w:r>
        <w:t xml:space="preserve">. It also advises that an assessment of significance is required as part of the application process including the understanding of the nature of the significance, the extent of that significance and level of significance. Paragraph 11 states ’to accord with the NPPF, the application will need to undertake an assessment of significance to inform the application process an extent necessary to understand the potential impact (positive or negative) of the proposal and the level of thoroughness proportionate to the relative importance of the asset whose fabric or setting affected’.  </w:t>
      </w:r>
      <w:r w:rsidRPr="003204D6">
        <w:t xml:space="preserve"> </w:t>
      </w:r>
    </w:p>
    <w:p w14:paraId="53DDBBC0" w14:textId="77777777" w:rsidR="00A619FE" w:rsidRPr="0071034D" w:rsidRDefault="00A619FE" w:rsidP="00A619FE">
      <w:pPr>
        <w:autoSpaceDE w:val="0"/>
        <w:autoSpaceDN w:val="0"/>
        <w:adjustRightInd w:val="0"/>
        <w:spacing w:after="0" w:line="240" w:lineRule="auto"/>
        <w:jc w:val="both"/>
        <w:rPr>
          <w:rFonts w:ascii="Calibri" w:hAnsi="Calibri" w:cs="Calibri"/>
        </w:rPr>
      </w:pPr>
    </w:p>
    <w:p w14:paraId="045264F0" w14:textId="77777777"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lastRenderedPageBreak/>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362F1E82" w14:textId="77777777" w:rsidR="00A619FE" w:rsidRDefault="00A619FE" w:rsidP="00A619FE">
      <w:pPr>
        <w:rPr>
          <w:rFonts w:cs="Arial"/>
          <w:bCs/>
        </w:rPr>
      </w:pPr>
      <w:r w:rsidRPr="00673AA1">
        <w:rPr>
          <w:rFonts w:cs="Arial"/>
          <w:bCs/>
        </w:rPr>
        <w:t>where possible positive opportunities to conserve and enjoy heritage assets.</w:t>
      </w:r>
    </w:p>
    <w:p w14:paraId="48B23811" w14:textId="44D8FBDF" w:rsidR="00A619FE" w:rsidRDefault="00A619FE" w:rsidP="00A619FE">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78A08D8A" w14:textId="77777777" w:rsidR="00852456" w:rsidRPr="00673AA1" w:rsidRDefault="00852456" w:rsidP="00E31B3A">
      <w:pPr>
        <w:jc w:val="both"/>
        <w:rPr>
          <w:b/>
          <w:u w:val="single"/>
        </w:rPr>
      </w:pPr>
      <w:r w:rsidRPr="00673AA1">
        <w:rPr>
          <w:b/>
          <w:u w:val="single"/>
        </w:rPr>
        <w:t xml:space="preserve">Proposal: </w:t>
      </w:r>
    </w:p>
    <w:p w14:paraId="337B0C64" w14:textId="7756F542" w:rsidR="00B15DF9" w:rsidRDefault="002C34CA" w:rsidP="000146F0">
      <w:pPr>
        <w:pStyle w:val="Default"/>
        <w:jc w:val="both"/>
        <w:rPr>
          <w:sz w:val="22"/>
          <w:szCs w:val="22"/>
        </w:rPr>
      </w:pPr>
      <w:r>
        <w:rPr>
          <w:sz w:val="22"/>
          <w:szCs w:val="22"/>
        </w:rPr>
        <w:t xml:space="preserve">Following an enforcement notice on the property, the proposal is to replace the harmful plastic balcony doors with timer frame replacements, mimicking the design of the original doors. These would have featured a top pane and two slim opening doors. The new doors are proposed to be double glazing of the slim line design – 4-6-4. </w:t>
      </w:r>
    </w:p>
    <w:p w14:paraId="5E0BD764" w14:textId="0752FF42" w:rsidR="002C34CA" w:rsidRDefault="002C34CA" w:rsidP="000146F0">
      <w:pPr>
        <w:pStyle w:val="Default"/>
        <w:jc w:val="both"/>
        <w:rPr>
          <w:sz w:val="22"/>
          <w:szCs w:val="22"/>
        </w:rPr>
      </w:pPr>
    </w:p>
    <w:p w14:paraId="161737FC" w14:textId="55DB37EF" w:rsidR="002C34CA" w:rsidRDefault="002C34CA" w:rsidP="000146F0">
      <w:pPr>
        <w:pStyle w:val="Default"/>
        <w:jc w:val="both"/>
        <w:rPr>
          <w:sz w:val="22"/>
          <w:szCs w:val="22"/>
        </w:rPr>
      </w:pPr>
      <w:r>
        <w:rPr>
          <w:sz w:val="22"/>
          <w:szCs w:val="22"/>
        </w:rPr>
        <w:t xml:space="preserve">A further window is also proposed to be replaced on the ground floor with a timber frame, single glazed sash window. </w:t>
      </w:r>
    </w:p>
    <w:p w14:paraId="4759CDC8" w14:textId="77777777" w:rsidR="00374DC5" w:rsidRPr="00673AA1" w:rsidRDefault="00374DC5" w:rsidP="000146F0">
      <w:pPr>
        <w:pStyle w:val="Default"/>
        <w:jc w:val="both"/>
        <w:rPr>
          <w:sz w:val="22"/>
          <w:szCs w:val="22"/>
        </w:rPr>
      </w:pPr>
    </w:p>
    <w:p w14:paraId="2124C5A4" w14:textId="4FEA54CF"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6BC4637C" w14:textId="68298787" w:rsidR="00374B6B" w:rsidRDefault="00374B6B" w:rsidP="00E31B3A">
      <w:pPr>
        <w:pStyle w:val="Default"/>
        <w:jc w:val="both"/>
        <w:rPr>
          <w:b/>
          <w:sz w:val="22"/>
          <w:szCs w:val="22"/>
          <w:u w:val="single"/>
        </w:rPr>
      </w:pPr>
    </w:p>
    <w:p w14:paraId="60A26167" w14:textId="09B3299E" w:rsidR="00B03176" w:rsidRDefault="002C34CA" w:rsidP="000146F0">
      <w:pPr>
        <w:pStyle w:val="Default"/>
        <w:jc w:val="both"/>
        <w:rPr>
          <w:bCs/>
          <w:sz w:val="22"/>
          <w:szCs w:val="22"/>
        </w:rPr>
      </w:pPr>
      <w:r>
        <w:rPr>
          <w:bCs/>
          <w:sz w:val="22"/>
          <w:szCs w:val="22"/>
        </w:rPr>
        <w:t xml:space="preserve">There has been a long enforcement history with properties on the Crescent and it is encouraging to see an application which seeks to address the harm caused by unsympathetic alterations such as UPVC windows / doors. </w:t>
      </w:r>
    </w:p>
    <w:p w14:paraId="39504055" w14:textId="56C0BD9E" w:rsidR="002C34CA" w:rsidRDefault="002C34CA" w:rsidP="000146F0">
      <w:pPr>
        <w:pStyle w:val="Default"/>
        <w:jc w:val="both"/>
        <w:rPr>
          <w:bCs/>
          <w:sz w:val="22"/>
          <w:szCs w:val="22"/>
        </w:rPr>
      </w:pPr>
    </w:p>
    <w:p w14:paraId="3B372DD7" w14:textId="691580FA" w:rsidR="002C34CA" w:rsidRDefault="002C34CA" w:rsidP="000146F0">
      <w:pPr>
        <w:pStyle w:val="Default"/>
        <w:jc w:val="both"/>
        <w:rPr>
          <w:bCs/>
          <w:sz w:val="22"/>
          <w:szCs w:val="22"/>
        </w:rPr>
      </w:pPr>
      <w:r>
        <w:rPr>
          <w:bCs/>
          <w:sz w:val="22"/>
          <w:szCs w:val="22"/>
        </w:rPr>
        <w:t>The proposal would see the replacement of the UPVc balcony doors with timber frame replacements. These would feature slim line double glazing which normally would not be supported however, given the very exposed nature of the south elevation to the coastline elements, it is considered that an exception can be made in this instance</w:t>
      </w:r>
      <w:r w:rsidR="00832BBD">
        <w:rPr>
          <w:bCs/>
          <w:sz w:val="22"/>
          <w:szCs w:val="22"/>
        </w:rPr>
        <w:t xml:space="preserve">. This has been the case with recent applications within the former Royal Beach Hotel (the adjacent listed building). </w:t>
      </w:r>
    </w:p>
    <w:p w14:paraId="7901F73F" w14:textId="5B771276" w:rsidR="00832BBD" w:rsidRDefault="00832BBD" w:rsidP="000146F0">
      <w:pPr>
        <w:pStyle w:val="Default"/>
        <w:jc w:val="both"/>
        <w:rPr>
          <w:bCs/>
          <w:sz w:val="22"/>
          <w:szCs w:val="22"/>
        </w:rPr>
      </w:pPr>
    </w:p>
    <w:p w14:paraId="020C2C56" w14:textId="433EB583" w:rsidR="00832BBD" w:rsidRDefault="00832BBD" w:rsidP="000146F0">
      <w:pPr>
        <w:pStyle w:val="Default"/>
        <w:jc w:val="both"/>
        <w:rPr>
          <w:bCs/>
          <w:sz w:val="22"/>
          <w:szCs w:val="22"/>
        </w:rPr>
      </w:pPr>
      <w:r>
        <w:rPr>
          <w:bCs/>
          <w:sz w:val="22"/>
          <w:szCs w:val="22"/>
        </w:rPr>
        <w:t xml:space="preserve">One of the two ground floor windows is also proposed to be replaced with a like for like, single glazed, timber framed sash window, with a white painted finish. </w:t>
      </w:r>
    </w:p>
    <w:p w14:paraId="57C64B1D" w14:textId="1E5F08B2" w:rsidR="00832BBD" w:rsidRDefault="00832BBD" w:rsidP="000146F0">
      <w:pPr>
        <w:pStyle w:val="Default"/>
        <w:jc w:val="both"/>
        <w:rPr>
          <w:bCs/>
          <w:sz w:val="22"/>
          <w:szCs w:val="22"/>
        </w:rPr>
      </w:pPr>
      <w:r>
        <w:rPr>
          <w:bCs/>
          <w:sz w:val="22"/>
          <w:szCs w:val="22"/>
        </w:rPr>
        <w:lastRenderedPageBreak/>
        <w:t>Overall the proposals would greatly improve the appearance of No. 53 and remove</w:t>
      </w:r>
      <w:r w:rsidR="003B5304">
        <w:rPr>
          <w:bCs/>
          <w:sz w:val="22"/>
          <w:szCs w:val="22"/>
        </w:rPr>
        <w:t xml:space="preserve"> </w:t>
      </w:r>
      <w:r>
        <w:rPr>
          <w:bCs/>
          <w:sz w:val="22"/>
          <w:szCs w:val="22"/>
        </w:rPr>
        <w:t xml:space="preserve">the harmful, unsympathetic windows which are clearly visible from the front elevation. </w:t>
      </w:r>
      <w:r w:rsidR="00DE22B1">
        <w:rPr>
          <w:bCs/>
          <w:sz w:val="22"/>
          <w:szCs w:val="22"/>
        </w:rPr>
        <w:t xml:space="preserve">It is hoped that this will set a precedent for other properties within the terrace to also address such harmful alterations. </w:t>
      </w:r>
      <w:r>
        <w:rPr>
          <w:bCs/>
          <w:sz w:val="22"/>
          <w:szCs w:val="22"/>
        </w:rPr>
        <w:t>On this basis the proposal is supported</w:t>
      </w:r>
      <w:r w:rsidR="00DE22B1">
        <w:rPr>
          <w:bCs/>
          <w:sz w:val="22"/>
          <w:szCs w:val="22"/>
        </w:rPr>
        <w:t xml:space="preserve"> and no objection is raised. </w:t>
      </w:r>
      <w:r w:rsidR="003B5304">
        <w:rPr>
          <w:bCs/>
          <w:sz w:val="22"/>
          <w:szCs w:val="22"/>
        </w:rPr>
        <w:t xml:space="preserve">The balcony doors are to be finished in white paint and maintained thereafter, this is also the case with the replacement single glazed </w:t>
      </w:r>
    </w:p>
    <w:p w14:paraId="03BE7102" w14:textId="77777777" w:rsidR="00F03019" w:rsidRDefault="00F03019" w:rsidP="00B031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p>
    <w:p w14:paraId="4E7D282F" w14:textId="43BF3473" w:rsidR="00374DC5"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5955A3">
        <w:rPr>
          <w:rFonts w:cstheme="minorHAnsi"/>
          <w:b/>
          <w:bCs/>
          <w:u w:val="single"/>
        </w:rPr>
        <w:t xml:space="preserve">Conclusion </w:t>
      </w:r>
      <w:r w:rsidR="00DE22B1">
        <w:rPr>
          <w:rFonts w:cstheme="minorHAnsi"/>
          <w:b/>
          <w:bCs/>
          <w:u w:val="single"/>
        </w:rPr>
        <w:t xml:space="preserve">– No objection </w:t>
      </w:r>
    </w:p>
    <w:p w14:paraId="2A434020" w14:textId="5A7ED34D" w:rsidR="00EE28ED" w:rsidRPr="00374DC5"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b/>
          <w:bCs/>
          <w:u w:val="single"/>
        </w:rPr>
      </w:pPr>
      <w:r w:rsidRPr="00EE28ED">
        <w:rPr>
          <w:rFonts w:cstheme="minorHAnsi"/>
        </w:rPr>
        <w:t>R McMurray</w:t>
      </w:r>
    </w:p>
    <w:p w14:paraId="60A66CE2" w14:textId="19203E76" w:rsidR="00EE28ED" w:rsidRPr="00EE28ED" w:rsidRDefault="00EE28ED"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 xml:space="preserve">Senior Conservation Planner </w:t>
      </w:r>
    </w:p>
    <w:p w14:paraId="7120D673" w14:textId="4A7E7ABE" w:rsidR="00EE28ED" w:rsidRPr="00EE28ED" w:rsidRDefault="00DE22B1" w:rsidP="00EE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1</w:t>
      </w:r>
      <w:r w:rsidR="003B5304">
        <w:rPr>
          <w:rFonts w:cstheme="minorHAnsi"/>
        </w:rPr>
        <w:t>6</w:t>
      </w:r>
      <w:r>
        <w:rPr>
          <w:rFonts w:cstheme="minorHAnsi"/>
        </w:rPr>
        <w:t>/11/21</w:t>
      </w:r>
    </w:p>
    <w:p w14:paraId="51BABCE4" w14:textId="77777777" w:rsidR="00B03176" w:rsidRDefault="00B03176" w:rsidP="00E31B3A">
      <w:pPr>
        <w:pStyle w:val="Default"/>
        <w:jc w:val="both"/>
        <w:rPr>
          <w:bCs/>
          <w:sz w:val="22"/>
          <w:szCs w:val="22"/>
        </w:rPr>
      </w:pPr>
    </w:p>
    <w:p w14:paraId="063061AC" w14:textId="091FB6F7" w:rsidR="00B03176" w:rsidRDefault="00B03176" w:rsidP="00E31B3A">
      <w:pPr>
        <w:pStyle w:val="Default"/>
        <w:jc w:val="both"/>
        <w:rPr>
          <w:bCs/>
          <w:sz w:val="22"/>
          <w:szCs w:val="22"/>
        </w:rPr>
      </w:pPr>
    </w:p>
    <w:p w14:paraId="066EB7E0" w14:textId="40B815CC" w:rsidR="00127AC6" w:rsidRPr="00EE28ED" w:rsidRDefault="00854D56" w:rsidP="00EE28ED">
      <w:pPr>
        <w:pStyle w:val="Default"/>
        <w:ind w:left="360"/>
        <w:jc w:val="both"/>
        <w:rPr>
          <w:rFonts w:asciiTheme="minorHAnsi" w:hAnsiTheme="minorHAnsi"/>
          <w:sz w:val="22"/>
          <w:szCs w:val="22"/>
        </w:rPr>
      </w:pPr>
      <w:r>
        <w:rPr>
          <w:rFonts w:asciiTheme="minorHAnsi" w:hAnsiTheme="minorHAnsi"/>
          <w:sz w:val="22"/>
          <w:szCs w:val="22"/>
        </w:rPr>
        <w:t xml:space="preserve">   </w:t>
      </w:r>
    </w:p>
    <w:sectPr w:rsidR="00127AC6" w:rsidRPr="00EE28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BD1B64"/>
    <w:multiLevelType w:val="hybridMultilevel"/>
    <w:tmpl w:val="436856BC"/>
    <w:lvl w:ilvl="0" w:tplc="6A304C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9"/>
  </w:num>
  <w:num w:numId="6">
    <w:abstractNumId w:val="0"/>
  </w:num>
  <w:num w:numId="7">
    <w:abstractNumId w:val="8"/>
  </w:num>
  <w:num w:numId="8">
    <w:abstractNumId w:val="6"/>
  </w:num>
  <w:num w:numId="9">
    <w:abstractNumId w:val="2"/>
  </w:num>
  <w:num w:numId="10">
    <w:abstractNumId w:val="7"/>
  </w:num>
  <w:num w:numId="11">
    <w:abstractNumId w:val="10"/>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D155D"/>
    <w:rsid w:val="000D6036"/>
    <w:rsid w:val="00127AC6"/>
    <w:rsid w:val="00164C5C"/>
    <w:rsid w:val="00166B67"/>
    <w:rsid w:val="001702F2"/>
    <w:rsid w:val="00181768"/>
    <w:rsid w:val="00192BA3"/>
    <w:rsid w:val="001C3AF7"/>
    <w:rsid w:val="00260BE4"/>
    <w:rsid w:val="00272D95"/>
    <w:rsid w:val="00274FB6"/>
    <w:rsid w:val="00280006"/>
    <w:rsid w:val="002B284B"/>
    <w:rsid w:val="002B3D0D"/>
    <w:rsid w:val="002C34CA"/>
    <w:rsid w:val="002C7C58"/>
    <w:rsid w:val="00332A3A"/>
    <w:rsid w:val="00355107"/>
    <w:rsid w:val="00374B6B"/>
    <w:rsid w:val="00374DC5"/>
    <w:rsid w:val="00376316"/>
    <w:rsid w:val="003A5C26"/>
    <w:rsid w:val="003B5304"/>
    <w:rsid w:val="003F7F9A"/>
    <w:rsid w:val="00440348"/>
    <w:rsid w:val="00447678"/>
    <w:rsid w:val="004542E1"/>
    <w:rsid w:val="004673DC"/>
    <w:rsid w:val="004F6F64"/>
    <w:rsid w:val="00556C7A"/>
    <w:rsid w:val="005955A3"/>
    <w:rsid w:val="005E4898"/>
    <w:rsid w:val="00610C2D"/>
    <w:rsid w:val="00673AA1"/>
    <w:rsid w:val="006A54BC"/>
    <w:rsid w:val="006B5B64"/>
    <w:rsid w:val="00712475"/>
    <w:rsid w:val="00791F1D"/>
    <w:rsid w:val="007C574E"/>
    <w:rsid w:val="00830105"/>
    <w:rsid w:val="00832BBD"/>
    <w:rsid w:val="00852456"/>
    <w:rsid w:val="00854D56"/>
    <w:rsid w:val="00872C31"/>
    <w:rsid w:val="008764B3"/>
    <w:rsid w:val="00892D27"/>
    <w:rsid w:val="008C0EE0"/>
    <w:rsid w:val="008E68E9"/>
    <w:rsid w:val="00930C2D"/>
    <w:rsid w:val="00944EE0"/>
    <w:rsid w:val="00984F41"/>
    <w:rsid w:val="009B1EFC"/>
    <w:rsid w:val="009C071A"/>
    <w:rsid w:val="00A54386"/>
    <w:rsid w:val="00A574DA"/>
    <w:rsid w:val="00A619FE"/>
    <w:rsid w:val="00A86C01"/>
    <w:rsid w:val="00AB323F"/>
    <w:rsid w:val="00B03176"/>
    <w:rsid w:val="00B0774E"/>
    <w:rsid w:val="00B15DF9"/>
    <w:rsid w:val="00B42C4C"/>
    <w:rsid w:val="00BE1F2E"/>
    <w:rsid w:val="00BE59F6"/>
    <w:rsid w:val="00BF67AB"/>
    <w:rsid w:val="00C02690"/>
    <w:rsid w:val="00C05141"/>
    <w:rsid w:val="00C11393"/>
    <w:rsid w:val="00C46399"/>
    <w:rsid w:val="00C56E34"/>
    <w:rsid w:val="00CA11A3"/>
    <w:rsid w:val="00CB7B0B"/>
    <w:rsid w:val="00CD4C97"/>
    <w:rsid w:val="00CE4CC6"/>
    <w:rsid w:val="00D10755"/>
    <w:rsid w:val="00DB60BA"/>
    <w:rsid w:val="00DC3F24"/>
    <w:rsid w:val="00DD38FB"/>
    <w:rsid w:val="00DE22B1"/>
    <w:rsid w:val="00DF6AFA"/>
    <w:rsid w:val="00DF7020"/>
    <w:rsid w:val="00E236AF"/>
    <w:rsid w:val="00E307EA"/>
    <w:rsid w:val="00E31470"/>
    <w:rsid w:val="00E31B3A"/>
    <w:rsid w:val="00E61FC4"/>
    <w:rsid w:val="00EA43A9"/>
    <w:rsid w:val="00EA4C3B"/>
    <w:rsid w:val="00EC42A3"/>
    <w:rsid w:val="00EE28ED"/>
    <w:rsid w:val="00EE2909"/>
    <w:rsid w:val="00EF0F79"/>
    <w:rsid w:val="00F03019"/>
    <w:rsid w:val="00F3548D"/>
    <w:rsid w:val="00F426F9"/>
    <w:rsid w:val="00F45927"/>
    <w:rsid w:val="00F47583"/>
    <w:rsid w:val="00F47C75"/>
    <w:rsid w:val="00F53FAB"/>
    <w:rsid w:val="00F77670"/>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77648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2021-11-10T14:35:00Z</dcterms:created>
  <dcterms:modified xsi:type="dcterms:W3CDTF">2021-11-16T12:55:00Z</dcterms:modified>
</cp:coreProperties>
</file>