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4F3" w:rsidRPr="00D774F3" w:rsidRDefault="00D774F3" w:rsidP="00D774F3">
      <w:pPr>
        <w:jc w:val="center"/>
        <w:rPr>
          <w:rFonts w:ascii="Arial" w:hAnsi="Arial" w:cs="Arial"/>
          <w:b/>
          <w:sz w:val="22"/>
          <w:szCs w:val="22"/>
        </w:rPr>
      </w:pPr>
      <w:r w:rsidRPr="00D774F3">
        <w:rPr>
          <w:rFonts w:ascii="Arial" w:hAnsi="Arial" w:cs="Arial"/>
          <w:b/>
          <w:sz w:val="22"/>
          <w:szCs w:val="22"/>
        </w:rPr>
        <w:t>Planning Application Response of Planning Policy</w:t>
      </w:r>
    </w:p>
    <w:p w:rsidR="00D774F3" w:rsidRPr="00D774F3" w:rsidRDefault="00D774F3" w:rsidP="00D774F3">
      <w:pPr>
        <w:jc w:val="center"/>
        <w:rPr>
          <w:rFonts w:ascii="Arial" w:hAnsi="Arial" w:cs="Arial"/>
          <w:b/>
          <w:sz w:val="22"/>
          <w:szCs w:val="22"/>
        </w:rPr>
      </w:pPr>
    </w:p>
    <w:tbl>
      <w:tblPr>
        <w:tblStyle w:val="TableGrid"/>
        <w:tblW w:w="0" w:type="auto"/>
        <w:tblLook w:val="01E0" w:firstRow="1" w:lastRow="1" w:firstColumn="1" w:lastColumn="1" w:noHBand="0" w:noVBand="0"/>
      </w:tblPr>
      <w:tblGrid>
        <w:gridCol w:w="2478"/>
        <w:gridCol w:w="5910"/>
      </w:tblGrid>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Application No: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A607F3">
            <w:pPr>
              <w:rPr>
                <w:rFonts w:ascii="Arial" w:hAnsi="Arial" w:cs="Arial"/>
                <w:sz w:val="22"/>
                <w:szCs w:val="22"/>
              </w:rPr>
            </w:pPr>
            <w:r>
              <w:rPr>
                <w:rFonts w:ascii="Arial" w:hAnsi="Arial" w:cs="Arial"/>
                <w:sz w:val="22"/>
                <w:szCs w:val="22"/>
              </w:rPr>
              <w:t>APP/16/00319</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Address:  </w:t>
            </w:r>
          </w:p>
        </w:tc>
        <w:tc>
          <w:tcPr>
            <w:tcW w:w="5910" w:type="dxa"/>
            <w:tcBorders>
              <w:top w:val="single" w:sz="4" w:space="0" w:color="auto"/>
              <w:left w:val="single" w:sz="4" w:space="0" w:color="auto"/>
              <w:bottom w:val="single" w:sz="4" w:space="0" w:color="auto"/>
              <w:right w:val="single" w:sz="4" w:space="0" w:color="auto"/>
            </w:tcBorders>
          </w:tcPr>
          <w:p w:rsidR="00D774F3" w:rsidRPr="00971951" w:rsidRDefault="00A607F3">
            <w:pPr>
              <w:rPr>
                <w:rFonts w:ascii="Arial" w:hAnsi="Arial" w:cs="Arial"/>
                <w:sz w:val="22"/>
                <w:szCs w:val="22"/>
              </w:rPr>
            </w:pPr>
            <w:r>
              <w:rPr>
                <w:rFonts w:ascii="Arial" w:hAnsi="Arial" w:cs="Arial"/>
                <w:sz w:val="22"/>
                <w:szCs w:val="22"/>
              </w:rPr>
              <w:t xml:space="preserve">Land Adjacent to Victoria Road, </w:t>
            </w:r>
            <w:proofErr w:type="spellStart"/>
            <w:r>
              <w:rPr>
                <w:rFonts w:ascii="Arial" w:hAnsi="Arial" w:cs="Arial"/>
                <w:sz w:val="22"/>
                <w:szCs w:val="22"/>
              </w:rPr>
              <w:t>Hayling</w:t>
            </w:r>
            <w:proofErr w:type="spellEnd"/>
            <w:r>
              <w:rPr>
                <w:rFonts w:ascii="Arial" w:hAnsi="Arial" w:cs="Arial"/>
                <w:sz w:val="22"/>
                <w:szCs w:val="22"/>
              </w:rPr>
              <w:t xml:space="preserve"> Island</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Development: </w:t>
            </w:r>
            <w:r w:rsidRPr="00D774F3">
              <w:rPr>
                <w:rFonts w:ascii="Arial" w:hAnsi="Arial" w:cs="Arial"/>
                <w:color w:val="333333"/>
                <w:sz w:val="18"/>
                <w:szCs w:val="18"/>
              </w:rPr>
              <w:t xml:space="preserve"> </w:t>
            </w:r>
          </w:p>
        </w:tc>
        <w:tc>
          <w:tcPr>
            <w:tcW w:w="5910" w:type="dxa"/>
            <w:tcBorders>
              <w:top w:val="single" w:sz="4" w:space="0" w:color="auto"/>
              <w:left w:val="single" w:sz="4" w:space="0" w:color="auto"/>
              <w:bottom w:val="single" w:sz="4" w:space="0" w:color="auto"/>
              <w:right w:val="single" w:sz="4" w:space="0" w:color="auto"/>
            </w:tcBorders>
          </w:tcPr>
          <w:p w:rsidR="00D774F3" w:rsidRPr="00316C26" w:rsidRDefault="00A607F3" w:rsidP="0019563F">
            <w:pPr>
              <w:autoSpaceDE w:val="0"/>
              <w:autoSpaceDN w:val="0"/>
              <w:adjustRightInd w:val="0"/>
              <w:rPr>
                <w:rFonts w:ascii="Arial" w:eastAsia="ArialMT" w:hAnsi="Arial" w:cs="Arial"/>
                <w:bCs/>
                <w:sz w:val="22"/>
                <w:szCs w:val="22"/>
                <w:lang w:eastAsia="en-US"/>
              </w:rPr>
            </w:pPr>
            <w:r>
              <w:rPr>
                <w:rFonts w:ascii="Arial" w:eastAsia="ArialMT" w:hAnsi="Arial" w:cs="Arial"/>
                <w:bCs/>
                <w:sz w:val="22"/>
                <w:szCs w:val="22"/>
                <w:lang w:eastAsia="en-US"/>
              </w:rPr>
              <w:t>Outline application for proposed residential development</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Case Officer: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316C26">
            <w:pPr>
              <w:rPr>
                <w:rFonts w:ascii="Arial" w:hAnsi="Arial" w:cs="Arial"/>
                <w:sz w:val="22"/>
                <w:szCs w:val="22"/>
              </w:rPr>
            </w:pPr>
            <w:r>
              <w:rPr>
                <w:rFonts w:ascii="Arial" w:hAnsi="Arial" w:cs="Arial"/>
                <w:sz w:val="22"/>
                <w:szCs w:val="22"/>
              </w:rPr>
              <w:t>Heather Lealan</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Comments by: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CE58A4">
            <w:pPr>
              <w:rPr>
                <w:rFonts w:ascii="Arial" w:hAnsi="Arial" w:cs="Arial"/>
                <w:sz w:val="22"/>
                <w:szCs w:val="22"/>
              </w:rPr>
            </w:pPr>
            <w:r>
              <w:rPr>
                <w:rFonts w:ascii="Arial" w:hAnsi="Arial" w:cs="Arial"/>
                <w:sz w:val="22"/>
                <w:szCs w:val="22"/>
              </w:rPr>
              <w:t>Laura Cornborough</w:t>
            </w:r>
          </w:p>
        </w:tc>
      </w:tr>
      <w:tr w:rsidR="00D774F3" w:rsidRPr="00D774F3" w:rsidTr="00D774F3">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Date of Comments:  </w:t>
            </w:r>
          </w:p>
        </w:tc>
        <w:tc>
          <w:tcPr>
            <w:tcW w:w="5910" w:type="dxa"/>
            <w:tcBorders>
              <w:top w:val="single" w:sz="4" w:space="0" w:color="auto"/>
              <w:left w:val="single" w:sz="4" w:space="0" w:color="auto"/>
              <w:bottom w:val="single" w:sz="4" w:space="0" w:color="auto"/>
              <w:right w:val="single" w:sz="4" w:space="0" w:color="auto"/>
            </w:tcBorders>
            <w:hideMark/>
          </w:tcPr>
          <w:p w:rsidR="00D774F3" w:rsidRPr="00D774F3" w:rsidRDefault="00964B07" w:rsidP="00C211A5">
            <w:pPr>
              <w:rPr>
                <w:rFonts w:ascii="Arial" w:hAnsi="Arial" w:cs="Arial"/>
                <w:sz w:val="22"/>
                <w:szCs w:val="22"/>
              </w:rPr>
            </w:pPr>
            <w:r>
              <w:rPr>
                <w:rFonts w:ascii="Arial" w:hAnsi="Arial" w:cs="Arial"/>
                <w:sz w:val="22"/>
                <w:szCs w:val="22"/>
              </w:rPr>
              <w:t>15</w:t>
            </w:r>
            <w:r w:rsidR="00A607F3">
              <w:rPr>
                <w:rFonts w:ascii="Arial" w:hAnsi="Arial" w:cs="Arial"/>
                <w:sz w:val="22"/>
                <w:szCs w:val="22"/>
              </w:rPr>
              <w:t>/04</w:t>
            </w:r>
            <w:r w:rsidR="00316C26">
              <w:rPr>
                <w:rFonts w:ascii="Arial" w:hAnsi="Arial" w:cs="Arial"/>
                <w:sz w:val="22"/>
                <w:szCs w:val="22"/>
              </w:rPr>
              <w:t>/16</w:t>
            </w:r>
          </w:p>
        </w:tc>
      </w:tr>
    </w:tbl>
    <w:p w:rsidR="00D774F3" w:rsidRPr="00D774F3" w:rsidRDefault="00D774F3" w:rsidP="00D774F3">
      <w:pPr>
        <w:rPr>
          <w:rFonts w:ascii="Arial" w:hAnsi="Arial" w:cs="Arial"/>
          <w:b/>
          <w:sz w:val="22"/>
          <w:szCs w:val="22"/>
        </w:rPr>
      </w:pPr>
    </w:p>
    <w:p w:rsidR="00C211A5" w:rsidRPr="00C211A5" w:rsidRDefault="00C211A5" w:rsidP="00C211A5">
      <w:pPr>
        <w:rPr>
          <w:rFonts w:ascii="Arial" w:hAnsi="Arial" w:cs="Arial"/>
          <w:b/>
          <w:bCs/>
          <w:sz w:val="22"/>
          <w:szCs w:val="22"/>
        </w:rPr>
      </w:pPr>
      <w:r w:rsidRPr="00C211A5">
        <w:rPr>
          <w:rFonts w:ascii="Arial" w:hAnsi="Arial" w:cs="Arial"/>
          <w:b/>
          <w:bCs/>
          <w:sz w:val="22"/>
          <w:szCs w:val="22"/>
        </w:rPr>
        <w:t>Policy Status</w:t>
      </w:r>
    </w:p>
    <w:p w:rsidR="00F44D62" w:rsidRDefault="00F44D62" w:rsidP="00C211A5">
      <w:pPr>
        <w:rPr>
          <w:rFonts w:ascii="Arial" w:hAnsi="Arial" w:cs="Arial"/>
          <w:sz w:val="22"/>
          <w:szCs w:val="22"/>
        </w:rPr>
      </w:pPr>
    </w:p>
    <w:p w:rsidR="00C211A5" w:rsidRPr="00C211A5" w:rsidRDefault="00C211A5" w:rsidP="00C211A5">
      <w:pPr>
        <w:rPr>
          <w:rFonts w:ascii="Arial" w:hAnsi="Arial" w:cs="Arial"/>
          <w:sz w:val="22"/>
          <w:szCs w:val="22"/>
        </w:rPr>
      </w:pPr>
      <w:r w:rsidRPr="00C211A5">
        <w:rPr>
          <w:rFonts w:ascii="Arial" w:hAnsi="Arial" w:cs="Arial"/>
          <w:sz w:val="22"/>
          <w:szCs w:val="22"/>
        </w:rPr>
        <w:t xml:space="preserve">The Local Plan (Core Strategy) and the Local Plan (Allocations) provide the development plan for the </w:t>
      </w:r>
      <w:r w:rsidR="00F44D62">
        <w:rPr>
          <w:rFonts w:ascii="Arial" w:hAnsi="Arial" w:cs="Arial"/>
          <w:sz w:val="22"/>
          <w:szCs w:val="22"/>
        </w:rPr>
        <w:t>Borough.  </w:t>
      </w:r>
    </w:p>
    <w:p w:rsidR="00C211A5" w:rsidRPr="00C211A5" w:rsidRDefault="00C211A5" w:rsidP="00C211A5">
      <w:pPr>
        <w:rPr>
          <w:rFonts w:ascii="Arial" w:hAnsi="Arial" w:cs="Arial"/>
          <w:b/>
          <w:sz w:val="22"/>
          <w:szCs w:val="22"/>
        </w:rPr>
      </w:pPr>
    </w:p>
    <w:p w:rsidR="00C211A5" w:rsidRPr="00C211A5" w:rsidRDefault="001F5298" w:rsidP="00C211A5">
      <w:pPr>
        <w:rPr>
          <w:rFonts w:ascii="Arial" w:hAnsi="Arial" w:cs="Arial"/>
          <w:b/>
          <w:bCs/>
          <w:sz w:val="22"/>
          <w:szCs w:val="22"/>
        </w:rPr>
      </w:pPr>
      <w:r>
        <w:rPr>
          <w:rFonts w:ascii="Arial" w:hAnsi="Arial" w:cs="Arial"/>
          <w:b/>
          <w:bCs/>
          <w:sz w:val="22"/>
          <w:szCs w:val="22"/>
        </w:rPr>
        <w:t>Policy Context</w:t>
      </w:r>
    </w:p>
    <w:p w:rsidR="00C211A5" w:rsidRPr="00C211A5" w:rsidRDefault="00C211A5" w:rsidP="00C211A5">
      <w:pPr>
        <w:rPr>
          <w:rFonts w:ascii="Arial" w:hAnsi="Arial" w:cs="Arial"/>
          <w:b/>
          <w:sz w:val="22"/>
          <w:szCs w:val="22"/>
        </w:rPr>
      </w:pPr>
    </w:p>
    <w:p w:rsidR="001F5298" w:rsidRDefault="00A607F3" w:rsidP="00C211A5">
      <w:pPr>
        <w:rPr>
          <w:rFonts w:ascii="Arial" w:hAnsi="Arial" w:cs="Arial"/>
          <w:sz w:val="22"/>
          <w:szCs w:val="22"/>
        </w:rPr>
      </w:pPr>
      <w:r>
        <w:rPr>
          <w:rFonts w:ascii="Arial" w:hAnsi="Arial" w:cs="Arial"/>
          <w:sz w:val="22"/>
          <w:szCs w:val="22"/>
        </w:rPr>
        <w:t xml:space="preserve">The site is located outside the </w:t>
      </w:r>
      <w:r w:rsidR="00EB7052">
        <w:rPr>
          <w:rFonts w:ascii="Arial" w:hAnsi="Arial" w:cs="Arial"/>
          <w:sz w:val="22"/>
          <w:szCs w:val="22"/>
        </w:rPr>
        <w:t xml:space="preserve">defined </w:t>
      </w:r>
      <w:r>
        <w:rPr>
          <w:rFonts w:ascii="Arial" w:hAnsi="Arial" w:cs="Arial"/>
          <w:sz w:val="22"/>
          <w:szCs w:val="22"/>
        </w:rPr>
        <w:t>urban area and as such is contrary to Policy AL2</w:t>
      </w:r>
      <w:r w:rsidR="004E1CFB">
        <w:rPr>
          <w:rFonts w:ascii="Arial" w:hAnsi="Arial" w:cs="Arial"/>
          <w:sz w:val="22"/>
          <w:szCs w:val="22"/>
        </w:rPr>
        <w:t xml:space="preserve"> and CS17</w:t>
      </w:r>
      <w:r w:rsidR="00EB7052">
        <w:rPr>
          <w:rFonts w:ascii="Arial" w:hAnsi="Arial" w:cs="Arial"/>
          <w:sz w:val="22"/>
          <w:szCs w:val="22"/>
        </w:rPr>
        <w:t xml:space="preserve">.   Therefore the principle of development at this site is not supported by the Local Plan.  </w:t>
      </w:r>
    </w:p>
    <w:p w:rsidR="00A607F3" w:rsidRDefault="00A607F3" w:rsidP="00C211A5">
      <w:pPr>
        <w:rPr>
          <w:rFonts w:ascii="Arial" w:hAnsi="Arial" w:cs="Arial"/>
          <w:sz w:val="22"/>
          <w:szCs w:val="22"/>
        </w:rPr>
      </w:pPr>
    </w:p>
    <w:p w:rsidR="00A607F3" w:rsidRDefault="00C5345B" w:rsidP="00C211A5">
      <w:pPr>
        <w:rPr>
          <w:rFonts w:ascii="Arial" w:hAnsi="Arial" w:cs="Arial"/>
          <w:sz w:val="22"/>
          <w:szCs w:val="22"/>
        </w:rPr>
      </w:pPr>
      <w:r>
        <w:rPr>
          <w:rFonts w:ascii="Arial" w:hAnsi="Arial" w:cs="Arial"/>
          <w:sz w:val="22"/>
          <w:szCs w:val="22"/>
        </w:rPr>
        <w:t>The site is located within flood zone 3</w:t>
      </w:r>
      <w:r w:rsidR="00D80930">
        <w:rPr>
          <w:rFonts w:ascii="Arial" w:hAnsi="Arial" w:cs="Arial"/>
          <w:sz w:val="22"/>
          <w:szCs w:val="22"/>
        </w:rPr>
        <w:t>.</w:t>
      </w:r>
      <w:r>
        <w:rPr>
          <w:rFonts w:ascii="Arial" w:hAnsi="Arial" w:cs="Arial"/>
          <w:sz w:val="22"/>
          <w:szCs w:val="22"/>
        </w:rPr>
        <w:t xml:space="preserve">  The NPPF states that development should not be allocated or permitted in areas at risk of flooding if there are reasonably available sites appropriate for the proposed development in areas with a lower probability of flooding in line with the Sequential Test.  We currently have a five year housing land supply and consequently there is no re</w:t>
      </w:r>
      <w:r w:rsidR="0014561F">
        <w:rPr>
          <w:rFonts w:ascii="Arial" w:hAnsi="Arial" w:cs="Arial"/>
          <w:sz w:val="22"/>
          <w:szCs w:val="22"/>
        </w:rPr>
        <w:t xml:space="preserve">ason to allow </w:t>
      </w:r>
      <w:r w:rsidR="00E415C3">
        <w:rPr>
          <w:rFonts w:ascii="Arial" w:hAnsi="Arial" w:cs="Arial"/>
          <w:sz w:val="22"/>
          <w:szCs w:val="22"/>
        </w:rPr>
        <w:t xml:space="preserve">such development.  </w:t>
      </w:r>
    </w:p>
    <w:p w:rsidR="00D80930" w:rsidRDefault="00D80930" w:rsidP="00C211A5">
      <w:pPr>
        <w:rPr>
          <w:rFonts w:ascii="Arial" w:hAnsi="Arial" w:cs="Arial"/>
          <w:sz w:val="22"/>
          <w:szCs w:val="22"/>
        </w:rPr>
      </w:pPr>
    </w:p>
    <w:p w:rsidR="001F5298" w:rsidRDefault="00D80930" w:rsidP="00C211A5">
      <w:pPr>
        <w:rPr>
          <w:rFonts w:ascii="Arial" w:hAnsi="Arial" w:cs="Arial"/>
          <w:sz w:val="22"/>
          <w:szCs w:val="22"/>
        </w:rPr>
      </w:pPr>
      <w:r>
        <w:rPr>
          <w:rFonts w:ascii="Arial" w:hAnsi="Arial" w:cs="Arial"/>
          <w:sz w:val="22"/>
          <w:szCs w:val="22"/>
        </w:rPr>
        <w:t>The site is identified as being uncertain for Brent Geese and waders therefore Policy DM23 is a</w:t>
      </w:r>
      <w:r w:rsidR="00EB7052">
        <w:rPr>
          <w:rFonts w:ascii="Arial" w:hAnsi="Arial" w:cs="Arial"/>
          <w:sz w:val="22"/>
          <w:szCs w:val="22"/>
        </w:rPr>
        <w:t>pplicable.  Appropriate surveys</w:t>
      </w:r>
      <w:r>
        <w:rPr>
          <w:rFonts w:ascii="Arial" w:hAnsi="Arial" w:cs="Arial"/>
          <w:sz w:val="22"/>
          <w:szCs w:val="22"/>
        </w:rPr>
        <w:t xml:space="preserve"> should be undertaken to ensure tha</w:t>
      </w:r>
      <w:r w:rsidR="00EB7052">
        <w:rPr>
          <w:rFonts w:ascii="Arial" w:hAnsi="Arial" w:cs="Arial"/>
          <w:sz w:val="22"/>
          <w:szCs w:val="22"/>
        </w:rPr>
        <w:t>t the site has no importance.</w:t>
      </w:r>
      <w:r w:rsidR="0014561F">
        <w:rPr>
          <w:rFonts w:ascii="Arial" w:hAnsi="Arial" w:cs="Arial"/>
          <w:sz w:val="22"/>
          <w:szCs w:val="22"/>
        </w:rPr>
        <w:t xml:space="preserve"> In the absence of surveys it cannot be demonstrated that there would be no significant impact on the SPA and would therefore be contrary to Policy DM23. </w:t>
      </w:r>
      <w:r w:rsidR="00EB7052">
        <w:rPr>
          <w:rFonts w:ascii="Arial" w:hAnsi="Arial" w:cs="Arial"/>
          <w:sz w:val="22"/>
          <w:szCs w:val="22"/>
        </w:rPr>
        <w:t xml:space="preserve">  </w:t>
      </w:r>
    </w:p>
    <w:p w:rsidR="007A24B4" w:rsidRDefault="007A24B4" w:rsidP="00C211A5">
      <w:pPr>
        <w:rPr>
          <w:rFonts w:ascii="Arial" w:hAnsi="Arial" w:cs="Arial"/>
          <w:sz w:val="22"/>
          <w:szCs w:val="22"/>
        </w:rPr>
      </w:pPr>
    </w:p>
    <w:p w:rsidR="007A24B4" w:rsidRDefault="007A24B4" w:rsidP="00C211A5">
      <w:pPr>
        <w:rPr>
          <w:rFonts w:ascii="Arial" w:hAnsi="Arial" w:cs="Arial"/>
          <w:sz w:val="22"/>
          <w:szCs w:val="22"/>
        </w:rPr>
      </w:pPr>
      <w:r>
        <w:rPr>
          <w:rFonts w:ascii="Arial" w:hAnsi="Arial" w:cs="Arial"/>
          <w:sz w:val="22"/>
          <w:szCs w:val="22"/>
        </w:rPr>
        <w:t>If these issues were to be overcome the following policy considerations would apply:</w:t>
      </w:r>
    </w:p>
    <w:p w:rsidR="007A24B4" w:rsidRDefault="007A24B4" w:rsidP="00C211A5">
      <w:pPr>
        <w:rPr>
          <w:rFonts w:ascii="Arial" w:hAnsi="Arial" w:cs="Arial"/>
          <w:sz w:val="22"/>
          <w:szCs w:val="22"/>
        </w:rPr>
      </w:pPr>
    </w:p>
    <w:p w:rsidR="007A24B4" w:rsidRPr="007A24B4" w:rsidRDefault="007A24B4" w:rsidP="00C211A5">
      <w:pPr>
        <w:rPr>
          <w:rFonts w:ascii="Arial" w:hAnsi="Arial" w:cs="Arial"/>
          <w:b/>
          <w:sz w:val="22"/>
          <w:szCs w:val="22"/>
        </w:rPr>
      </w:pPr>
      <w:r w:rsidRPr="007A24B4">
        <w:rPr>
          <w:rFonts w:ascii="Arial" w:hAnsi="Arial" w:cs="Arial"/>
          <w:b/>
          <w:sz w:val="22"/>
          <w:szCs w:val="22"/>
        </w:rPr>
        <w:t>Affordable Housing</w:t>
      </w:r>
    </w:p>
    <w:p w:rsidR="007A24B4" w:rsidRDefault="007A24B4" w:rsidP="00C211A5">
      <w:pPr>
        <w:rPr>
          <w:rFonts w:ascii="Arial" w:hAnsi="Arial" w:cs="Arial"/>
          <w:sz w:val="22"/>
          <w:szCs w:val="22"/>
        </w:rPr>
      </w:pPr>
    </w:p>
    <w:p w:rsidR="007A24B4" w:rsidRPr="00EB7052" w:rsidRDefault="007A24B4" w:rsidP="00C211A5">
      <w:pPr>
        <w:rPr>
          <w:rFonts w:ascii="Arial" w:hAnsi="Arial" w:cs="Arial"/>
          <w:sz w:val="22"/>
          <w:szCs w:val="22"/>
        </w:rPr>
      </w:pPr>
      <w:r>
        <w:rPr>
          <w:rFonts w:ascii="Arial" w:hAnsi="Arial" w:cs="Arial"/>
          <w:sz w:val="22"/>
          <w:szCs w:val="22"/>
        </w:rPr>
        <w:t xml:space="preserve">The applicant has suggested that the likely scale of development would be in the region of 20 to 24 dwellings and therefore 30 to 40% of the dwellings should be affordable.  </w:t>
      </w:r>
    </w:p>
    <w:p w:rsidR="000F69A1" w:rsidRPr="00C211A5" w:rsidRDefault="000F69A1" w:rsidP="00C211A5">
      <w:pPr>
        <w:rPr>
          <w:rFonts w:ascii="Arial" w:hAnsi="Arial" w:cs="Arial"/>
          <w:b/>
          <w:sz w:val="22"/>
          <w:szCs w:val="22"/>
        </w:rPr>
      </w:pPr>
    </w:p>
    <w:p w:rsidR="00C211A5" w:rsidRPr="00C211A5" w:rsidRDefault="00C211A5" w:rsidP="00C211A5">
      <w:pPr>
        <w:rPr>
          <w:rFonts w:ascii="Arial" w:hAnsi="Arial" w:cs="Arial"/>
          <w:b/>
          <w:bCs/>
          <w:sz w:val="22"/>
          <w:szCs w:val="22"/>
        </w:rPr>
      </w:pPr>
      <w:r w:rsidRPr="00C211A5">
        <w:rPr>
          <w:rFonts w:ascii="Arial" w:hAnsi="Arial" w:cs="Arial"/>
          <w:b/>
          <w:bCs/>
          <w:sz w:val="22"/>
          <w:szCs w:val="22"/>
        </w:rPr>
        <w:t>Infrastructure</w:t>
      </w:r>
    </w:p>
    <w:p w:rsidR="00C211A5" w:rsidRPr="00C211A5" w:rsidRDefault="00C211A5" w:rsidP="00C211A5">
      <w:pPr>
        <w:rPr>
          <w:rFonts w:ascii="Arial" w:hAnsi="Arial" w:cs="Arial"/>
          <w:b/>
          <w:bCs/>
          <w:sz w:val="22"/>
          <w:szCs w:val="22"/>
        </w:rPr>
      </w:pPr>
    </w:p>
    <w:p w:rsidR="00C211A5" w:rsidRPr="00C211A5" w:rsidRDefault="00C211A5" w:rsidP="00C211A5">
      <w:pPr>
        <w:rPr>
          <w:rFonts w:ascii="Arial" w:hAnsi="Arial" w:cs="Arial"/>
          <w:sz w:val="22"/>
          <w:szCs w:val="22"/>
        </w:rPr>
      </w:pPr>
      <w:r w:rsidRPr="00C211A5">
        <w:rPr>
          <w:rFonts w:ascii="Arial" w:hAnsi="Arial" w:cs="Arial"/>
          <w:sz w:val="22"/>
          <w:szCs w:val="22"/>
        </w:rPr>
        <w:t>The proposal will need to comply with all aspects of policies CS20, DM11 and DM12.</w:t>
      </w:r>
    </w:p>
    <w:p w:rsidR="00C211A5" w:rsidRPr="00C211A5" w:rsidRDefault="00C211A5" w:rsidP="00C211A5">
      <w:pPr>
        <w:rPr>
          <w:rFonts w:ascii="Arial" w:hAnsi="Arial" w:cs="Arial"/>
          <w:b/>
          <w:sz w:val="22"/>
          <w:szCs w:val="22"/>
        </w:rPr>
      </w:pPr>
    </w:p>
    <w:p w:rsidR="00C211A5" w:rsidRPr="00C211A5" w:rsidRDefault="00C211A5" w:rsidP="00C211A5">
      <w:pPr>
        <w:rPr>
          <w:rFonts w:ascii="Arial" w:hAnsi="Arial" w:cs="Arial"/>
          <w:b/>
          <w:bCs/>
          <w:sz w:val="22"/>
          <w:szCs w:val="22"/>
        </w:rPr>
      </w:pPr>
      <w:r w:rsidRPr="00C211A5">
        <w:rPr>
          <w:rFonts w:ascii="Arial" w:hAnsi="Arial" w:cs="Arial"/>
          <w:b/>
          <w:bCs/>
          <w:sz w:val="22"/>
          <w:szCs w:val="22"/>
        </w:rPr>
        <w:t>Community Infrastructure Levy</w:t>
      </w:r>
    </w:p>
    <w:p w:rsidR="00C211A5" w:rsidRPr="00C211A5" w:rsidRDefault="00C211A5" w:rsidP="00C211A5">
      <w:pPr>
        <w:rPr>
          <w:rFonts w:ascii="Arial" w:hAnsi="Arial" w:cs="Arial"/>
          <w:b/>
          <w:bCs/>
          <w:sz w:val="22"/>
          <w:szCs w:val="22"/>
        </w:rPr>
      </w:pPr>
    </w:p>
    <w:p w:rsidR="00C211A5" w:rsidRDefault="00C211A5" w:rsidP="00C211A5">
      <w:pPr>
        <w:rPr>
          <w:rFonts w:ascii="Arial" w:hAnsi="Arial" w:cs="Arial"/>
          <w:sz w:val="22"/>
          <w:szCs w:val="22"/>
        </w:rPr>
      </w:pPr>
      <w:r w:rsidRPr="00C211A5">
        <w:rPr>
          <w:rFonts w:ascii="Arial" w:hAnsi="Arial" w:cs="Arial"/>
          <w:sz w:val="22"/>
          <w:szCs w:val="22"/>
        </w:rPr>
        <w:t xml:space="preserve">Havant Borough Council has an adopted CIL Charging Schedule which is applied to new residential development in the Borough.  </w:t>
      </w:r>
    </w:p>
    <w:p w:rsidR="00416258" w:rsidRPr="00442B2F" w:rsidRDefault="00416258" w:rsidP="00C211A5">
      <w:pPr>
        <w:rPr>
          <w:rFonts w:ascii="Arial" w:hAnsi="Arial" w:cs="Arial"/>
          <w:sz w:val="22"/>
          <w:szCs w:val="22"/>
        </w:rPr>
      </w:pPr>
    </w:p>
    <w:p w:rsidR="00C211A5" w:rsidRPr="00442B2F" w:rsidRDefault="00416258" w:rsidP="00416258">
      <w:pPr>
        <w:jc w:val="both"/>
        <w:rPr>
          <w:rFonts w:ascii="Arial" w:hAnsi="Arial" w:cs="Arial"/>
          <w:sz w:val="22"/>
          <w:szCs w:val="22"/>
        </w:rPr>
      </w:pPr>
      <w:r w:rsidRPr="00442B2F">
        <w:rPr>
          <w:rFonts w:ascii="Arial" w:hAnsi="Arial" w:cs="Arial"/>
          <w:sz w:val="22"/>
          <w:szCs w:val="22"/>
        </w:rPr>
        <w:t>Also, the SRMP contribution will be payable in accordance with policy DM24.</w:t>
      </w:r>
    </w:p>
    <w:p w:rsidR="00C211A5" w:rsidRPr="00442B2F" w:rsidRDefault="00C211A5" w:rsidP="00C211A5">
      <w:pPr>
        <w:rPr>
          <w:rFonts w:ascii="Arial" w:hAnsi="Arial" w:cs="Arial"/>
          <w:sz w:val="22"/>
          <w:szCs w:val="22"/>
        </w:rPr>
      </w:pPr>
    </w:p>
    <w:p w:rsidR="00C211A5" w:rsidRPr="00442B2F" w:rsidRDefault="00C211A5" w:rsidP="00C211A5">
      <w:pPr>
        <w:rPr>
          <w:rFonts w:ascii="Arial" w:hAnsi="Arial" w:cs="Arial"/>
          <w:sz w:val="22"/>
          <w:szCs w:val="22"/>
        </w:rPr>
      </w:pPr>
      <w:r w:rsidRPr="00442B2F">
        <w:rPr>
          <w:rFonts w:ascii="Arial" w:hAnsi="Arial" w:cs="Arial"/>
          <w:b/>
          <w:sz w:val="22"/>
          <w:szCs w:val="22"/>
        </w:rPr>
        <w:t>Conclusion:</w:t>
      </w:r>
      <w:r w:rsidRPr="00442B2F">
        <w:rPr>
          <w:rFonts w:ascii="Arial" w:hAnsi="Arial" w:cs="Arial"/>
          <w:sz w:val="22"/>
          <w:szCs w:val="22"/>
        </w:rPr>
        <w:t xml:space="preserve"> </w:t>
      </w:r>
    </w:p>
    <w:p w:rsidR="00AD043C" w:rsidRPr="00442B2F" w:rsidRDefault="00AD043C" w:rsidP="00AD043C">
      <w:pPr>
        <w:rPr>
          <w:rFonts w:ascii="Arial" w:hAnsi="Arial" w:cs="Arial"/>
          <w:sz w:val="22"/>
          <w:szCs w:val="22"/>
        </w:rPr>
      </w:pPr>
    </w:p>
    <w:p w:rsidR="00C211A5" w:rsidRPr="00442B2F" w:rsidRDefault="00442B2F">
      <w:pPr>
        <w:rPr>
          <w:rFonts w:ascii="Arial" w:hAnsi="Arial" w:cs="Arial"/>
          <w:sz w:val="22"/>
          <w:szCs w:val="22"/>
        </w:rPr>
      </w:pPr>
      <w:r w:rsidRPr="00442B2F">
        <w:rPr>
          <w:rFonts w:ascii="Arial" w:hAnsi="Arial" w:cs="Arial"/>
          <w:sz w:val="22"/>
          <w:szCs w:val="22"/>
        </w:rPr>
        <w:t>The proposal is contrary to planning policy.</w:t>
      </w:r>
      <w:bookmarkStart w:id="0" w:name="_GoBack"/>
      <w:bookmarkEnd w:id="0"/>
    </w:p>
    <w:sectPr w:rsidR="00C211A5" w:rsidRPr="00442B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8345C"/>
    <w:multiLevelType w:val="hybridMultilevel"/>
    <w:tmpl w:val="F1C6CB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4F3"/>
    <w:rsid w:val="0000785A"/>
    <w:rsid w:val="00034657"/>
    <w:rsid w:val="000F5011"/>
    <w:rsid w:val="000F69A1"/>
    <w:rsid w:val="0014561F"/>
    <w:rsid w:val="0015162F"/>
    <w:rsid w:val="0019563F"/>
    <w:rsid w:val="001D2FE1"/>
    <w:rsid w:val="001F5298"/>
    <w:rsid w:val="00316C26"/>
    <w:rsid w:val="003A5B15"/>
    <w:rsid w:val="003D1239"/>
    <w:rsid w:val="00416258"/>
    <w:rsid w:val="00442B2F"/>
    <w:rsid w:val="00475887"/>
    <w:rsid w:val="004B52C7"/>
    <w:rsid w:val="004D198D"/>
    <w:rsid w:val="004E1CFB"/>
    <w:rsid w:val="00543ED9"/>
    <w:rsid w:val="00651C97"/>
    <w:rsid w:val="006B021E"/>
    <w:rsid w:val="006B0A40"/>
    <w:rsid w:val="00750CA1"/>
    <w:rsid w:val="007A118C"/>
    <w:rsid w:val="007A24B4"/>
    <w:rsid w:val="007E696B"/>
    <w:rsid w:val="00856809"/>
    <w:rsid w:val="0088619E"/>
    <w:rsid w:val="00964B07"/>
    <w:rsid w:val="00971951"/>
    <w:rsid w:val="009F7BD7"/>
    <w:rsid w:val="00A607F3"/>
    <w:rsid w:val="00A6613D"/>
    <w:rsid w:val="00A83149"/>
    <w:rsid w:val="00A84720"/>
    <w:rsid w:val="00AD043C"/>
    <w:rsid w:val="00B264A7"/>
    <w:rsid w:val="00B4641D"/>
    <w:rsid w:val="00C211A5"/>
    <w:rsid w:val="00C30B40"/>
    <w:rsid w:val="00C5345B"/>
    <w:rsid w:val="00CE58A4"/>
    <w:rsid w:val="00D7458D"/>
    <w:rsid w:val="00D774F3"/>
    <w:rsid w:val="00D80930"/>
    <w:rsid w:val="00E105B4"/>
    <w:rsid w:val="00E415C3"/>
    <w:rsid w:val="00EB7052"/>
    <w:rsid w:val="00F3620F"/>
    <w:rsid w:val="00F44D62"/>
    <w:rsid w:val="00F74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4F3"/>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4F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9563F"/>
    <w:pPr>
      <w:ind w:left="720"/>
      <w:contextualSpacing/>
    </w:pPr>
  </w:style>
  <w:style w:type="character" w:styleId="Hyperlink">
    <w:name w:val="Hyperlink"/>
    <w:basedOn w:val="DefaultParagraphFont"/>
    <w:uiPriority w:val="99"/>
    <w:unhideWhenUsed/>
    <w:rsid w:val="00B4641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4F3"/>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4F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9563F"/>
    <w:pPr>
      <w:ind w:left="720"/>
      <w:contextualSpacing/>
    </w:pPr>
  </w:style>
  <w:style w:type="character" w:styleId="Hyperlink">
    <w:name w:val="Hyperlink"/>
    <w:basedOn w:val="DefaultParagraphFont"/>
    <w:uiPriority w:val="99"/>
    <w:unhideWhenUsed/>
    <w:rsid w:val="00B464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411151">
      <w:bodyDiv w:val="1"/>
      <w:marLeft w:val="0"/>
      <w:marRight w:val="0"/>
      <w:marTop w:val="0"/>
      <w:marBottom w:val="0"/>
      <w:divBdr>
        <w:top w:val="none" w:sz="0" w:space="0" w:color="auto"/>
        <w:left w:val="none" w:sz="0" w:space="0" w:color="auto"/>
        <w:bottom w:val="none" w:sz="0" w:space="0" w:color="auto"/>
        <w:right w:val="none" w:sz="0" w:space="0" w:color="auto"/>
      </w:divBdr>
    </w:div>
    <w:div w:id="1301114474">
      <w:bodyDiv w:val="1"/>
      <w:marLeft w:val="0"/>
      <w:marRight w:val="0"/>
      <w:marTop w:val="0"/>
      <w:marBottom w:val="0"/>
      <w:divBdr>
        <w:top w:val="none" w:sz="0" w:space="0" w:color="auto"/>
        <w:left w:val="none" w:sz="0" w:space="0" w:color="auto"/>
        <w:bottom w:val="none" w:sz="0" w:space="0" w:color="auto"/>
        <w:right w:val="none" w:sz="0" w:space="0" w:color="auto"/>
      </w:divBdr>
    </w:div>
    <w:div w:id="1668287805">
      <w:bodyDiv w:val="1"/>
      <w:marLeft w:val="0"/>
      <w:marRight w:val="0"/>
      <w:marTop w:val="0"/>
      <w:marBottom w:val="0"/>
      <w:divBdr>
        <w:top w:val="none" w:sz="0" w:space="0" w:color="auto"/>
        <w:left w:val="none" w:sz="0" w:space="0" w:color="auto"/>
        <w:bottom w:val="none" w:sz="0" w:space="0" w:color="auto"/>
        <w:right w:val="none" w:sz="0" w:space="0" w:color="auto"/>
      </w:divBdr>
    </w:div>
    <w:div w:id="1726947991">
      <w:bodyDiv w:val="1"/>
      <w:marLeft w:val="0"/>
      <w:marRight w:val="0"/>
      <w:marTop w:val="0"/>
      <w:marBottom w:val="0"/>
      <w:divBdr>
        <w:top w:val="none" w:sz="0" w:space="0" w:color="auto"/>
        <w:left w:val="none" w:sz="0" w:space="0" w:color="auto"/>
        <w:bottom w:val="none" w:sz="0" w:space="0" w:color="auto"/>
        <w:right w:val="none" w:sz="0" w:space="0" w:color="auto"/>
      </w:divBdr>
    </w:div>
    <w:div w:id="1952321677">
      <w:bodyDiv w:val="1"/>
      <w:marLeft w:val="0"/>
      <w:marRight w:val="0"/>
      <w:marTop w:val="0"/>
      <w:marBottom w:val="0"/>
      <w:divBdr>
        <w:top w:val="none" w:sz="0" w:space="0" w:color="auto"/>
        <w:left w:val="none" w:sz="0" w:space="0" w:color="auto"/>
        <w:bottom w:val="none" w:sz="0" w:space="0" w:color="auto"/>
        <w:right w:val="none" w:sz="0" w:space="0" w:color="auto"/>
      </w:divBdr>
    </w:div>
    <w:div w:id="19820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640</TotalTime>
  <Pages>1</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Planning Application Response of Planning Policy</vt:lpstr>
    </vt:vector>
  </TitlesOfParts>
  <Company>Hampshire County Council</Company>
  <LinksUpToDate>false</LinksUpToDate>
  <CharactersWithSpaces>2086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 Response of Planning Policy</dc:title>
  <dc:creator>sarahha</dc:creator>
  <cp:lastModifiedBy>LauraC</cp:lastModifiedBy>
  <cp:revision>6</cp:revision>
  <cp:lastPrinted>2016-04-25T08:24:00Z</cp:lastPrinted>
  <dcterms:created xsi:type="dcterms:W3CDTF">2016-04-15T08:01:00Z</dcterms:created>
  <dcterms:modified xsi:type="dcterms:W3CDTF">2016-04-25T12:01:00Z</dcterms:modified>
</cp:coreProperties>
</file>