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2CE" w:rsidRDefault="000142CE" w:rsidP="000142CE">
      <w:pPr>
        <w:outlineLvl w:val="0"/>
        <w:rPr>
          <w:rFonts w:ascii="Tahoma" w:hAnsi="Tahoma" w:cs="Tahoma"/>
          <w:sz w:val="20"/>
          <w:szCs w:val="20"/>
          <w:lang w:val="en-US" w:eastAsia="en-GB"/>
        </w:rPr>
      </w:pPr>
      <w:r>
        <w:rPr>
          <w:rFonts w:ascii="Tahoma" w:hAnsi="Tahoma" w:cs="Tahoma"/>
          <w:b/>
          <w:bCs/>
          <w:sz w:val="20"/>
          <w:szCs w:val="20"/>
          <w:lang w:val="en-US" w:eastAsia="en-GB"/>
        </w:rPr>
        <w:t>Sent:</w:t>
      </w:r>
      <w:r>
        <w:rPr>
          <w:rFonts w:ascii="Tahoma" w:hAnsi="Tahoma" w:cs="Tahoma"/>
          <w:sz w:val="20"/>
          <w:szCs w:val="20"/>
          <w:lang w:val="en-US" w:eastAsia="en-GB"/>
        </w:rPr>
        <w:t xml:space="preserve"> 09 December 2015 16:50</w:t>
      </w:r>
      <w:r>
        <w:rPr>
          <w:rFonts w:ascii="Tahoma" w:hAnsi="Tahoma" w:cs="Tahoma"/>
          <w:sz w:val="20"/>
          <w:szCs w:val="20"/>
          <w:lang w:val="en-US" w:eastAsia="en-GB"/>
        </w:rPr>
        <w:br/>
      </w:r>
      <w:r>
        <w:rPr>
          <w:rFonts w:ascii="Tahoma" w:hAnsi="Tahoma" w:cs="Tahoma"/>
          <w:b/>
          <w:bCs/>
          <w:sz w:val="20"/>
          <w:szCs w:val="20"/>
          <w:lang w:val="en-US" w:eastAsia="en-GB"/>
        </w:rPr>
        <w:t>To:</w:t>
      </w:r>
      <w:r>
        <w:rPr>
          <w:rFonts w:ascii="Tahoma" w:hAnsi="Tahoma" w:cs="Tahoma"/>
          <w:sz w:val="20"/>
          <w:szCs w:val="20"/>
          <w:lang w:val="en-US" w:eastAsia="en-GB"/>
        </w:rPr>
        <w:t xml:space="preserve"> Daphney Haywood</w:t>
      </w:r>
      <w:r>
        <w:rPr>
          <w:rFonts w:ascii="Tahoma" w:hAnsi="Tahoma" w:cs="Tahoma"/>
          <w:sz w:val="20"/>
          <w:szCs w:val="20"/>
          <w:lang w:val="en-US" w:eastAsia="en-GB"/>
        </w:rPr>
        <w:br/>
      </w:r>
      <w:r>
        <w:rPr>
          <w:rFonts w:ascii="Tahoma" w:hAnsi="Tahoma" w:cs="Tahoma"/>
          <w:b/>
          <w:bCs/>
          <w:sz w:val="20"/>
          <w:szCs w:val="20"/>
          <w:lang w:val="en-US" w:eastAsia="en-GB"/>
        </w:rPr>
        <w:t>Cc:</w:t>
      </w:r>
      <w:r>
        <w:rPr>
          <w:rFonts w:ascii="Tahoma" w:hAnsi="Tahoma" w:cs="Tahoma"/>
          <w:sz w:val="20"/>
          <w:szCs w:val="20"/>
          <w:lang w:val="en-US" w:eastAsia="en-GB"/>
        </w:rPr>
        <w:t xml:space="preserve"> HADAG Shared Mailbox; </w:t>
      </w:r>
      <w:hyperlink r:id="rId5" w:history="1">
        <w:r>
          <w:rPr>
            <w:rStyle w:val="Hyperlink"/>
            <w:rFonts w:ascii="Tahoma" w:hAnsi="Tahoma" w:cs="Tahoma"/>
            <w:sz w:val="20"/>
            <w:szCs w:val="20"/>
            <w:lang w:val="en-US" w:eastAsia="en-GB"/>
          </w:rPr>
          <w:t>Owen.Devine@hants.gov.uk</w:t>
        </w:r>
      </w:hyperlink>
      <w:r>
        <w:rPr>
          <w:rFonts w:ascii="Tahoma" w:hAnsi="Tahoma" w:cs="Tahoma"/>
          <w:sz w:val="20"/>
          <w:szCs w:val="20"/>
          <w:lang w:val="en-US" w:eastAsia="en-GB"/>
        </w:rPr>
        <w:br/>
      </w:r>
      <w:r>
        <w:rPr>
          <w:rFonts w:ascii="Tahoma" w:hAnsi="Tahoma" w:cs="Tahoma"/>
          <w:b/>
          <w:bCs/>
          <w:sz w:val="20"/>
          <w:szCs w:val="20"/>
          <w:lang w:val="en-US" w:eastAsia="en-GB"/>
        </w:rPr>
        <w:t>Subject:</w:t>
      </w:r>
      <w:r>
        <w:rPr>
          <w:rFonts w:ascii="Tahoma" w:hAnsi="Tahoma" w:cs="Tahoma"/>
          <w:sz w:val="20"/>
          <w:szCs w:val="20"/>
          <w:lang w:val="en-US" w:eastAsia="en-GB"/>
        </w:rPr>
        <w:t xml:space="preserve"> RE: APP/15/01235 - Outline application for residential development for 43 residential dwellings with access off </w:t>
      </w:r>
      <w:proofErr w:type="spellStart"/>
      <w:r>
        <w:rPr>
          <w:rFonts w:ascii="Tahoma" w:hAnsi="Tahoma" w:cs="Tahoma"/>
          <w:sz w:val="20"/>
          <w:szCs w:val="20"/>
          <w:lang w:val="en-US" w:eastAsia="en-GB"/>
        </w:rPr>
        <w:t>Woodcroft</w:t>
      </w:r>
      <w:proofErr w:type="spellEnd"/>
      <w:r>
        <w:rPr>
          <w:rFonts w:ascii="Tahoma" w:hAnsi="Tahoma" w:cs="Tahoma"/>
          <w:sz w:val="20"/>
          <w:szCs w:val="20"/>
          <w:lang w:val="en-US" w:eastAsia="en-GB"/>
        </w:rPr>
        <w:t xml:space="preserve"> Lane</w:t>
      </w:r>
    </w:p>
    <w:p w:rsidR="000142CE" w:rsidRDefault="000142CE" w:rsidP="000142CE"/>
    <w:p w:rsidR="000142CE" w:rsidRDefault="000142CE" w:rsidP="000142CE">
      <w:pPr>
        <w:rPr>
          <w:color w:val="1F497D"/>
        </w:rPr>
      </w:pPr>
      <w:r>
        <w:rPr>
          <w:color w:val="1F497D"/>
        </w:rPr>
        <w:t>Daphney,</w:t>
      </w:r>
    </w:p>
    <w:p w:rsidR="000142CE" w:rsidRDefault="000142CE" w:rsidP="000142CE">
      <w:pPr>
        <w:rPr>
          <w:color w:val="1F497D"/>
        </w:rPr>
      </w:pPr>
    </w:p>
    <w:p w:rsidR="000142CE" w:rsidRDefault="000142CE" w:rsidP="000142CE">
      <w:pPr>
        <w:rPr>
          <w:color w:val="1F497D"/>
        </w:rPr>
      </w:pPr>
      <w:r>
        <w:rPr>
          <w:color w:val="1F497D"/>
        </w:rPr>
        <w:t>Taking the housing design aside, the remainder of the material considerations listed previously still stand.  Those based on Published and approved Planning Policies of the Borough Council take priority over any other considerations, though we’ve identified a number of other equally valid considerations which have not been considered.</w:t>
      </w:r>
    </w:p>
    <w:p w:rsidR="000142CE" w:rsidRDefault="000142CE" w:rsidP="000142CE">
      <w:pPr>
        <w:rPr>
          <w:color w:val="1F497D"/>
        </w:rPr>
      </w:pPr>
    </w:p>
    <w:p w:rsidR="000142CE" w:rsidRDefault="000142CE" w:rsidP="000142CE">
      <w:pPr>
        <w:rPr>
          <w:color w:val="1F497D"/>
        </w:rPr>
      </w:pPr>
      <w:r>
        <w:rPr>
          <w:color w:val="1F497D"/>
        </w:rPr>
        <w:t>With respect to Owen, and the Highways Team, our group has not observed any particularly sound planning or design decisions on the part of the Highways Authority (HCC) nor the devolved team within HBC.  Over the last five years, I am aware of very few developments or major refurbishments which have been fully inclusive or safe for disabled people, and that includes much of the pavements around my home.  In terms of actual consultation (without request) – I believe only one or two developments have come our way.</w:t>
      </w:r>
    </w:p>
    <w:p w:rsidR="000142CE" w:rsidRDefault="000142CE" w:rsidP="000142CE">
      <w:pPr>
        <w:rPr>
          <w:color w:val="1F497D"/>
        </w:rPr>
      </w:pPr>
    </w:p>
    <w:p w:rsidR="000142CE" w:rsidRDefault="000142CE" w:rsidP="000142CE">
      <w:pPr>
        <w:rPr>
          <w:color w:val="1F497D"/>
        </w:rPr>
      </w:pPr>
      <w:r>
        <w:rPr>
          <w:color w:val="1F497D"/>
        </w:rPr>
        <w:t>On the other hand, planning policies, highway guidelines and other elements of the same quoted policies and documents are enforced in a much different manner on householders and smaller developers.  We, as a group, while unhappy with the Policies as they stand, at least feel they should be enforced fairly and equally as they stand.  I would further point out, that under the new planning rules, material considerations based on local Council policies take priority over any other considerations.</w:t>
      </w:r>
    </w:p>
    <w:p w:rsidR="000142CE" w:rsidRDefault="000142CE" w:rsidP="000142CE">
      <w:pPr>
        <w:rPr>
          <w:color w:val="1F497D"/>
        </w:rPr>
      </w:pPr>
    </w:p>
    <w:p w:rsidR="000142CE" w:rsidRDefault="000142CE" w:rsidP="000142CE">
      <w:pPr>
        <w:rPr>
          <w:color w:val="1F497D"/>
        </w:rPr>
      </w:pPr>
      <w:r>
        <w:rPr>
          <w:color w:val="1F497D"/>
        </w:rPr>
        <w:t xml:space="preserve">We are an open and very approachable group.  In the past, we were frequently consulted by planners and devolved highways staff, however since the Localism Bill, which should have improved consultation, we have barely been approached at all, despite all the work undertaken to improve communication.  </w:t>
      </w:r>
    </w:p>
    <w:p w:rsidR="000142CE" w:rsidRDefault="000142CE" w:rsidP="000142CE">
      <w:pPr>
        <w:rPr>
          <w:color w:val="1F497D"/>
        </w:rPr>
      </w:pPr>
    </w:p>
    <w:p w:rsidR="000142CE" w:rsidRDefault="000142CE" w:rsidP="000142CE">
      <w:pPr>
        <w:rPr>
          <w:color w:val="1F497D"/>
        </w:rPr>
      </w:pPr>
      <w:r>
        <w:rPr>
          <w:color w:val="1F497D"/>
        </w:rPr>
        <w:t>Therefore, with the exception of point three in my original letter, the remaining three material considerations remain relevant and the published plans remain, in our opinion, in conflict both with these, and the larger view of the SCI, 2011 Localism Act, and the Public Sector Equality Duty in which it fails two of the three ‘due regards’ requirements, namely:</w:t>
      </w:r>
    </w:p>
    <w:p w:rsidR="000142CE" w:rsidRDefault="000142CE" w:rsidP="000142CE">
      <w:pPr>
        <w:shd w:val="clear" w:color="auto" w:fill="F1F1F1"/>
        <w:spacing w:before="100" w:beforeAutospacing="1" w:after="150" w:line="315" w:lineRule="atLeast"/>
        <w:ind w:hanging="360"/>
        <w:rPr>
          <w:rFonts w:ascii="Arial" w:hAnsi="Arial" w:cs="Arial"/>
          <w:color w:val="333333"/>
          <w:sz w:val="21"/>
          <w:szCs w:val="21"/>
          <w:lang w:eastAsia="en-GB"/>
        </w:rPr>
      </w:pPr>
      <w:r>
        <w:rPr>
          <w:rFonts w:ascii="Symbol" w:hAnsi="Symbol"/>
          <w:color w:val="333333"/>
          <w:sz w:val="20"/>
          <w:szCs w:val="20"/>
          <w:lang w:eastAsia="en-GB"/>
        </w:rPr>
        <w:t></w:t>
      </w:r>
      <w:r>
        <w:rPr>
          <w:rFonts w:ascii="Times New Roman" w:hAnsi="Times New Roman" w:cs="Times New Roman"/>
          <w:color w:val="333333"/>
          <w:sz w:val="14"/>
          <w:szCs w:val="14"/>
          <w:lang w:eastAsia="en-GB"/>
        </w:rPr>
        <w:t xml:space="preserve">        </w:t>
      </w:r>
      <w:r>
        <w:rPr>
          <w:rFonts w:ascii="Arial" w:hAnsi="Arial" w:cs="Arial"/>
          <w:color w:val="333333"/>
          <w:sz w:val="21"/>
          <w:szCs w:val="21"/>
          <w:lang w:eastAsia="en-GB"/>
        </w:rPr>
        <w:t>Advance equality of opportunity between people who share a protected characteristic and those who do not.</w:t>
      </w:r>
    </w:p>
    <w:p w:rsidR="000142CE" w:rsidRDefault="000142CE" w:rsidP="000142CE">
      <w:pPr>
        <w:shd w:val="clear" w:color="auto" w:fill="F1F1F1"/>
        <w:spacing w:before="100" w:beforeAutospacing="1" w:after="150" w:line="315" w:lineRule="atLeast"/>
        <w:ind w:hanging="360"/>
        <w:rPr>
          <w:rFonts w:ascii="Arial" w:hAnsi="Arial" w:cs="Arial"/>
          <w:color w:val="333333"/>
          <w:sz w:val="21"/>
          <w:szCs w:val="21"/>
          <w:lang w:eastAsia="en-GB"/>
        </w:rPr>
      </w:pPr>
      <w:r>
        <w:rPr>
          <w:rFonts w:ascii="Symbol" w:hAnsi="Symbol"/>
          <w:color w:val="333333"/>
          <w:sz w:val="20"/>
          <w:szCs w:val="20"/>
          <w:lang w:eastAsia="en-GB"/>
        </w:rPr>
        <w:t></w:t>
      </w:r>
      <w:r>
        <w:rPr>
          <w:rFonts w:ascii="Times New Roman" w:hAnsi="Times New Roman" w:cs="Times New Roman"/>
          <w:color w:val="333333"/>
          <w:sz w:val="14"/>
          <w:szCs w:val="14"/>
          <w:lang w:eastAsia="en-GB"/>
        </w:rPr>
        <w:t xml:space="preserve">        </w:t>
      </w:r>
      <w:r>
        <w:rPr>
          <w:rFonts w:ascii="Arial" w:hAnsi="Arial" w:cs="Arial"/>
          <w:color w:val="333333"/>
          <w:sz w:val="21"/>
          <w:szCs w:val="21"/>
          <w:lang w:eastAsia="en-GB"/>
        </w:rPr>
        <w:t>Foster good relations between people who share a protected characteristic and those who do not.</w:t>
      </w:r>
    </w:p>
    <w:p w:rsidR="000142CE" w:rsidRDefault="000142CE" w:rsidP="000142CE">
      <w:pPr>
        <w:rPr>
          <w:color w:val="1F497D"/>
        </w:rPr>
      </w:pPr>
      <w:r>
        <w:rPr>
          <w:color w:val="1F497D"/>
        </w:rPr>
        <w:t>As much as I appreciate that this development has been underway for a long time, the PSED and Localism Bill came into force in 2011, as did the Core Planning Strategy of the Borough Council, and the Equality Act the year before.  Indeed, the DDA and similar legislation covered similar points for a considerable amount of time before this.</w:t>
      </w:r>
    </w:p>
    <w:p w:rsidR="000142CE" w:rsidRDefault="000142CE" w:rsidP="000142CE">
      <w:pPr>
        <w:rPr>
          <w:color w:val="1F497D"/>
        </w:rPr>
      </w:pPr>
    </w:p>
    <w:p w:rsidR="000142CE" w:rsidRDefault="000142CE" w:rsidP="000142CE">
      <w:pPr>
        <w:rPr>
          <w:color w:val="1F497D"/>
        </w:rPr>
      </w:pPr>
      <w:r>
        <w:rPr>
          <w:color w:val="1F497D"/>
        </w:rPr>
        <w:t>I think we can all agree that just because policies have accidentally not been followed correctly for such a long time, does not mean that they should continue to be disregarded simply as a matter of convenience.  This would go against the principles of open government and the Localism Act which aims to bring such decisions close to the ENTIRE community.</w:t>
      </w:r>
    </w:p>
    <w:p w:rsidR="000142CE" w:rsidRDefault="000142CE" w:rsidP="000142CE">
      <w:pPr>
        <w:rPr>
          <w:color w:val="1F497D"/>
        </w:rPr>
      </w:pPr>
    </w:p>
    <w:p w:rsidR="000142CE" w:rsidRDefault="000142CE" w:rsidP="000142CE">
      <w:pPr>
        <w:rPr>
          <w:color w:val="1F497D"/>
        </w:rPr>
      </w:pPr>
      <w:r>
        <w:rPr>
          <w:color w:val="1F497D"/>
        </w:rPr>
        <w:t>As a group, we wish to be pro-active and complimentary to the planning process, and to be involved and consulted during the very early pre-planning stages which has always been one of the under-pinning principles of planning legislation.  However, because such consultation has ceased, both from developers (who appear possibly not to be receiving our details) nor by local authorities (who DO have our details), this is not happening.  Therefore we only find out about such matters at the planning stage, leaving objection our only tool.  This helps nobody, and wastes a lot of money.</w:t>
      </w:r>
    </w:p>
    <w:p w:rsidR="000142CE" w:rsidRDefault="000142CE" w:rsidP="000142CE">
      <w:pPr>
        <w:rPr>
          <w:color w:val="1F497D"/>
        </w:rPr>
      </w:pPr>
    </w:p>
    <w:p w:rsidR="000142CE" w:rsidRDefault="000142CE" w:rsidP="000142CE">
      <w:pPr>
        <w:rPr>
          <w:color w:val="1F497D"/>
        </w:rPr>
      </w:pPr>
      <w:r>
        <w:rPr>
          <w:color w:val="1F497D"/>
        </w:rPr>
        <w:t>However, our OBJECTION remains in force, based on the material considerations included in the original letter with the exception of item 3.  We take no pleasure from doing this, but we are taking what we feel is the responsible view and looking not just at the present, but at the future generations as well.</w:t>
      </w:r>
    </w:p>
    <w:p w:rsidR="000142CE" w:rsidRDefault="000142CE" w:rsidP="000142CE">
      <w:pPr>
        <w:rPr>
          <w:color w:val="1F497D"/>
        </w:rPr>
      </w:pPr>
    </w:p>
    <w:p w:rsidR="000142CE" w:rsidRDefault="000142CE" w:rsidP="000142CE">
      <w:pPr>
        <w:rPr>
          <w:color w:val="1F497D"/>
          <w:lang w:eastAsia="en-GB"/>
        </w:rPr>
      </w:pPr>
      <w:r>
        <w:rPr>
          <w:i/>
          <w:iCs/>
          <w:color w:val="1F497D"/>
          <w:lang w:eastAsia="en-GB"/>
        </w:rPr>
        <w:t xml:space="preserve">With Kindest Regards / </w:t>
      </w:r>
      <w:proofErr w:type="spellStart"/>
      <w:r>
        <w:rPr>
          <w:i/>
          <w:iCs/>
          <w:color w:val="1F497D"/>
          <w:lang w:eastAsia="en-GB"/>
        </w:rPr>
        <w:t>Mit</w:t>
      </w:r>
      <w:proofErr w:type="spellEnd"/>
      <w:r>
        <w:rPr>
          <w:i/>
          <w:iCs/>
          <w:color w:val="1F497D"/>
          <w:lang w:eastAsia="en-GB"/>
        </w:rPr>
        <w:t xml:space="preserve"> </w:t>
      </w:r>
      <w:proofErr w:type="spellStart"/>
      <w:r>
        <w:rPr>
          <w:i/>
          <w:iCs/>
          <w:color w:val="1F497D"/>
          <w:lang w:eastAsia="en-GB"/>
        </w:rPr>
        <w:t>freundlichen</w:t>
      </w:r>
      <w:proofErr w:type="spellEnd"/>
      <w:r>
        <w:rPr>
          <w:i/>
          <w:iCs/>
          <w:color w:val="1F497D"/>
          <w:lang w:eastAsia="en-GB"/>
        </w:rPr>
        <w:t xml:space="preserve"> </w:t>
      </w:r>
      <w:proofErr w:type="spellStart"/>
      <w:r>
        <w:rPr>
          <w:i/>
          <w:iCs/>
          <w:color w:val="1F497D"/>
          <w:lang w:eastAsia="en-GB"/>
        </w:rPr>
        <w:t>Grüßen</w:t>
      </w:r>
      <w:proofErr w:type="spellEnd"/>
      <w:r>
        <w:rPr>
          <w:i/>
          <w:iCs/>
          <w:color w:val="1F497D"/>
          <w:lang w:eastAsia="en-GB"/>
        </w:rPr>
        <w:t xml:space="preserve"> / </w:t>
      </w:r>
      <w:proofErr w:type="spellStart"/>
      <w:r>
        <w:rPr>
          <w:i/>
          <w:iCs/>
          <w:color w:val="1F497D"/>
          <w:lang w:eastAsia="en-GB"/>
        </w:rPr>
        <w:t>Très</w:t>
      </w:r>
      <w:proofErr w:type="spellEnd"/>
      <w:r>
        <w:rPr>
          <w:i/>
          <w:iCs/>
          <w:color w:val="1F497D"/>
          <w:lang w:eastAsia="en-GB"/>
        </w:rPr>
        <w:t xml:space="preserve"> </w:t>
      </w:r>
      <w:proofErr w:type="spellStart"/>
      <w:r>
        <w:rPr>
          <w:i/>
          <w:iCs/>
          <w:color w:val="1F497D"/>
          <w:lang w:eastAsia="en-GB"/>
        </w:rPr>
        <w:t>cordialement</w:t>
      </w:r>
      <w:proofErr w:type="spellEnd"/>
      <w:r>
        <w:rPr>
          <w:color w:val="1F497D"/>
          <w:lang w:eastAsia="en-GB"/>
        </w:rPr>
        <w:br/>
      </w:r>
      <w:r>
        <w:rPr>
          <w:color w:val="1F497D"/>
          <w:lang w:eastAsia="en-GB"/>
        </w:rPr>
        <w:br/>
      </w:r>
      <w:r>
        <w:rPr>
          <w:b/>
          <w:bCs/>
          <w:color w:val="1F497D"/>
          <w:sz w:val="27"/>
          <w:szCs w:val="27"/>
          <w:lang w:eastAsia="en-GB"/>
        </w:rPr>
        <w:t>Andy Bundy</w:t>
      </w:r>
      <w:r>
        <w:rPr>
          <w:color w:val="1F497D"/>
          <w:lang w:eastAsia="en-GB"/>
        </w:rPr>
        <w:br/>
        <w:t>Secretary, Havant Area Disability Access Group</w:t>
      </w:r>
      <w:r>
        <w:rPr>
          <w:color w:val="1F497D"/>
          <w:lang w:eastAsia="en-GB"/>
        </w:rPr>
        <w:br/>
      </w:r>
      <w:hyperlink r:id="rId6" w:history="1">
        <w:r>
          <w:rPr>
            <w:rStyle w:val="Hyperlink"/>
            <w:color w:val="0000FF"/>
            <w:lang w:eastAsia="en-GB"/>
          </w:rPr>
          <w:t>info@hadag.org.uk</w:t>
        </w:r>
      </w:hyperlink>
      <w:r>
        <w:rPr>
          <w:color w:val="1F497D"/>
          <w:lang w:eastAsia="en-GB"/>
        </w:rPr>
        <w:t xml:space="preserve"> | </w:t>
      </w:r>
      <w:hyperlink r:id="rId7" w:history="1">
        <w:r>
          <w:rPr>
            <w:rStyle w:val="Hyperlink"/>
            <w:color w:val="0000FF"/>
            <w:lang w:eastAsia="en-GB"/>
          </w:rPr>
          <w:t>www.hadag.org.uk</w:t>
        </w:r>
      </w:hyperlink>
      <w:r>
        <w:rPr>
          <w:color w:val="1F497D"/>
          <w:lang w:eastAsia="en-GB"/>
        </w:rPr>
        <w:br/>
      </w:r>
      <w:r>
        <w:rPr>
          <w:noProof/>
          <w:color w:val="1F497D"/>
          <w:lang w:eastAsia="en-GB"/>
        </w:rPr>
        <w:drawing>
          <wp:inline distT="0" distB="0" distL="0" distR="0">
            <wp:extent cx="2619375" cy="771525"/>
            <wp:effectExtent l="0" t="0" r="9525" b="9525"/>
            <wp:docPr id="1" name="Picture 1" descr="Letterhead Logo No wor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Logo No wording 3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619375" cy="771525"/>
                    </a:xfrm>
                    <a:prstGeom prst="rect">
                      <a:avLst/>
                    </a:prstGeom>
                    <a:noFill/>
                    <a:ln>
                      <a:noFill/>
                    </a:ln>
                  </pic:spPr>
                </pic:pic>
              </a:graphicData>
            </a:graphic>
          </wp:inline>
        </w:drawing>
      </w:r>
    </w:p>
    <w:p w:rsidR="00AC74C0" w:rsidRDefault="00AC74C0">
      <w:bookmarkStart w:id="0" w:name="_GoBack"/>
      <w:bookmarkEnd w:id="0"/>
    </w:p>
    <w:sectPr w:rsidR="00AC74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CE"/>
    <w:rsid w:val="000142CE"/>
    <w:rsid w:val="00AC74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2C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42CE"/>
    <w:rPr>
      <w:color w:val="0563C1"/>
      <w:u w:val="single"/>
    </w:rPr>
  </w:style>
  <w:style w:type="paragraph" w:styleId="BalloonText">
    <w:name w:val="Balloon Text"/>
    <w:basedOn w:val="Normal"/>
    <w:link w:val="BalloonTextChar"/>
    <w:uiPriority w:val="99"/>
    <w:semiHidden/>
    <w:unhideWhenUsed/>
    <w:rsid w:val="000142CE"/>
    <w:rPr>
      <w:rFonts w:ascii="Tahoma" w:hAnsi="Tahoma" w:cs="Tahoma"/>
      <w:sz w:val="16"/>
      <w:szCs w:val="16"/>
    </w:rPr>
  </w:style>
  <w:style w:type="character" w:customStyle="1" w:styleId="BalloonTextChar">
    <w:name w:val="Balloon Text Char"/>
    <w:basedOn w:val="DefaultParagraphFont"/>
    <w:link w:val="BalloonText"/>
    <w:uiPriority w:val="99"/>
    <w:semiHidden/>
    <w:rsid w:val="000142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2C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42CE"/>
    <w:rPr>
      <w:color w:val="0563C1"/>
      <w:u w:val="single"/>
    </w:rPr>
  </w:style>
  <w:style w:type="paragraph" w:styleId="BalloonText">
    <w:name w:val="Balloon Text"/>
    <w:basedOn w:val="Normal"/>
    <w:link w:val="BalloonTextChar"/>
    <w:uiPriority w:val="99"/>
    <w:semiHidden/>
    <w:unhideWhenUsed/>
    <w:rsid w:val="000142CE"/>
    <w:rPr>
      <w:rFonts w:ascii="Tahoma" w:hAnsi="Tahoma" w:cs="Tahoma"/>
      <w:sz w:val="16"/>
      <w:szCs w:val="16"/>
    </w:rPr>
  </w:style>
  <w:style w:type="character" w:customStyle="1" w:styleId="BalloonTextChar">
    <w:name w:val="Balloon Text Char"/>
    <w:basedOn w:val="DefaultParagraphFont"/>
    <w:link w:val="BalloonText"/>
    <w:uiPriority w:val="99"/>
    <w:semiHidden/>
    <w:rsid w:val="000142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45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hadag.org.u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nfo@hadag.org.uk" TargetMode="External"/><Relationship Id="rId11" Type="http://schemas.openxmlformats.org/officeDocument/2006/relationships/theme" Target="theme/theme1.xml"/><Relationship Id="rId5" Type="http://schemas.openxmlformats.org/officeDocument/2006/relationships/hyperlink" Target="mailto:Owen.Devine@hants.gov.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cid:image002.jpg@01D132A1.92D8A4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653</Words>
  <Characters>3726</Characters>
  <Application>Microsoft Office Word</Application>
  <DocSecurity>0</DocSecurity>
  <Lines>31</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Sent: 09 December 2015 16:50 To: Daphney Haywood Cc: HADAG Shared Mailbox; Owen.</vt:lpstr>
    </vt:vector>
  </TitlesOfParts>
  <Company>Hampshire County Council</Company>
  <LinksUpToDate>false</LinksUpToDate>
  <CharactersWithSpaces>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JenniferP</dc:creator>
  <cp:lastModifiedBy>JenniferP</cp:lastModifiedBy>
  <cp:revision>1</cp:revision>
  <dcterms:created xsi:type="dcterms:W3CDTF">2015-12-10T12:06:00Z</dcterms:created>
  <dcterms:modified xsi:type="dcterms:W3CDTF">2015-12-10T12:07:00Z</dcterms:modified>
</cp:coreProperties>
</file>