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FC4" w:rsidRDefault="00F05FC4" w:rsidP="00F05FC4">
      <w:pPr>
        <w:outlineLvl w:val="0"/>
        <w:rPr>
          <w:rFonts w:ascii="Tahoma" w:hAnsi="Tahoma" w:cs="Tahoma"/>
          <w:color w:val="auto"/>
          <w:sz w:val="20"/>
          <w:szCs w:val="20"/>
          <w:lang w:val="en-US"/>
        </w:rPr>
      </w:pPr>
      <w:r>
        <w:rPr>
          <w:rFonts w:ascii="Tahoma" w:hAnsi="Tahoma" w:cs="Tahoma"/>
          <w:b/>
          <w:bCs/>
          <w:color w:val="auto"/>
          <w:sz w:val="20"/>
          <w:szCs w:val="20"/>
          <w:lang w:val="en-US"/>
        </w:rPr>
        <w:t>From:</w:t>
      </w:r>
      <w:r>
        <w:rPr>
          <w:rFonts w:ascii="Tahoma" w:hAnsi="Tahoma" w:cs="Tahoma"/>
          <w:color w:val="auto"/>
          <w:sz w:val="20"/>
          <w:szCs w:val="20"/>
          <w:lang w:val="en-US"/>
        </w:rPr>
        <w:t xml:space="preserve"> Jonathan Driver </w:t>
      </w:r>
      <w:r>
        <w:rPr>
          <w:rFonts w:ascii="Tahoma" w:hAnsi="Tahoma" w:cs="Tahoma"/>
          <w:color w:val="auto"/>
          <w:sz w:val="20"/>
          <w:szCs w:val="20"/>
          <w:lang w:val="en-US"/>
        </w:rPr>
        <w:br/>
      </w:r>
      <w:r>
        <w:rPr>
          <w:rFonts w:ascii="Tahoma" w:hAnsi="Tahoma" w:cs="Tahoma"/>
          <w:b/>
          <w:bCs/>
          <w:color w:val="auto"/>
          <w:sz w:val="20"/>
          <w:szCs w:val="20"/>
          <w:lang w:val="en-US"/>
        </w:rPr>
        <w:t>Sent:</w:t>
      </w:r>
      <w:r>
        <w:rPr>
          <w:rFonts w:ascii="Tahoma" w:hAnsi="Tahoma" w:cs="Tahoma"/>
          <w:color w:val="auto"/>
          <w:sz w:val="20"/>
          <w:szCs w:val="20"/>
          <w:lang w:val="en-US"/>
        </w:rPr>
        <w:t xml:space="preserve"> 11 December 2015 11:55</w:t>
      </w:r>
      <w:r>
        <w:rPr>
          <w:rFonts w:ascii="Tahoma" w:hAnsi="Tahoma" w:cs="Tahoma"/>
          <w:color w:val="auto"/>
          <w:sz w:val="20"/>
          <w:szCs w:val="20"/>
          <w:lang w:val="en-US"/>
        </w:rPr>
        <w:br/>
      </w:r>
      <w:r>
        <w:rPr>
          <w:rFonts w:ascii="Tahoma" w:hAnsi="Tahoma" w:cs="Tahoma"/>
          <w:b/>
          <w:bCs/>
          <w:color w:val="auto"/>
          <w:sz w:val="20"/>
          <w:szCs w:val="20"/>
          <w:lang w:val="en-US"/>
        </w:rPr>
        <w:t>To:</w:t>
      </w:r>
      <w:r>
        <w:rPr>
          <w:rFonts w:ascii="Tahoma" w:hAnsi="Tahoma" w:cs="Tahoma"/>
          <w:color w:val="auto"/>
          <w:sz w:val="20"/>
          <w:szCs w:val="20"/>
          <w:lang w:val="en-US"/>
        </w:rPr>
        <w:t xml:space="preserve"> m smith</w:t>
      </w:r>
      <w:bookmarkStart w:id="0" w:name="_GoBack"/>
      <w:bookmarkEnd w:id="0"/>
      <w:r>
        <w:rPr>
          <w:rFonts w:ascii="Tahoma" w:hAnsi="Tahoma" w:cs="Tahoma"/>
          <w:color w:val="auto"/>
          <w:sz w:val="20"/>
          <w:szCs w:val="20"/>
          <w:lang w:val="en-US"/>
        </w:rPr>
        <w:t xml:space="preserve"> </w:t>
      </w:r>
      <w:r>
        <w:rPr>
          <w:rFonts w:ascii="Tahoma" w:hAnsi="Tahoma" w:cs="Tahoma"/>
          <w:color w:val="auto"/>
          <w:sz w:val="20"/>
          <w:szCs w:val="20"/>
          <w:lang w:val="en-US"/>
        </w:rPr>
        <w:br/>
      </w:r>
      <w:r>
        <w:rPr>
          <w:rFonts w:ascii="Tahoma" w:hAnsi="Tahoma" w:cs="Tahoma"/>
          <w:b/>
          <w:bCs/>
          <w:color w:val="auto"/>
          <w:sz w:val="20"/>
          <w:szCs w:val="20"/>
          <w:lang w:val="en-US"/>
        </w:rPr>
        <w:t>Cc:</w:t>
      </w:r>
      <w:r>
        <w:rPr>
          <w:rFonts w:ascii="Tahoma" w:hAnsi="Tahoma" w:cs="Tahoma"/>
          <w:color w:val="auto"/>
          <w:sz w:val="20"/>
          <w:szCs w:val="20"/>
          <w:lang w:val="en-US"/>
        </w:rPr>
        <w:t xml:space="preserve"> Daphney Haywood</w:t>
      </w:r>
      <w:r>
        <w:rPr>
          <w:rFonts w:ascii="Tahoma" w:hAnsi="Tahoma" w:cs="Tahoma"/>
          <w:color w:val="auto"/>
          <w:sz w:val="20"/>
          <w:szCs w:val="20"/>
          <w:lang w:val="en-US"/>
        </w:rPr>
        <w:br/>
      </w:r>
      <w:r>
        <w:rPr>
          <w:rFonts w:ascii="Tahoma" w:hAnsi="Tahoma" w:cs="Tahoma"/>
          <w:b/>
          <w:bCs/>
          <w:color w:val="auto"/>
          <w:sz w:val="20"/>
          <w:szCs w:val="20"/>
          <w:lang w:val="en-US"/>
        </w:rPr>
        <w:t>Subject:</w:t>
      </w:r>
      <w:r>
        <w:rPr>
          <w:rFonts w:ascii="Tahoma" w:hAnsi="Tahoma" w:cs="Tahoma"/>
          <w:color w:val="auto"/>
          <w:sz w:val="20"/>
          <w:szCs w:val="20"/>
          <w:lang w:val="en-US"/>
        </w:rPr>
        <w:t xml:space="preserve"> RE: Application </w:t>
      </w:r>
      <w:proofErr w:type="spellStart"/>
      <w:r>
        <w:rPr>
          <w:rFonts w:ascii="Tahoma" w:hAnsi="Tahoma" w:cs="Tahoma"/>
          <w:color w:val="auto"/>
          <w:sz w:val="20"/>
          <w:szCs w:val="20"/>
          <w:lang w:val="en-US"/>
        </w:rPr>
        <w:t>Ref_APP</w:t>
      </w:r>
      <w:proofErr w:type="spellEnd"/>
      <w:r>
        <w:rPr>
          <w:rFonts w:ascii="Tahoma" w:hAnsi="Tahoma" w:cs="Tahoma"/>
          <w:color w:val="auto"/>
          <w:sz w:val="20"/>
          <w:szCs w:val="20"/>
          <w:lang w:val="en-US"/>
        </w:rPr>
        <w:t xml:space="preserve">/15/01243 - Former Scout Hall, 4 Meyrick Road, </w:t>
      </w:r>
      <w:proofErr w:type="spellStart"/>
      <w:r>
        <w:rPr>
          <w:rFonts w:ascii="Tahoma" w:hAnsi="Tahoma" w:cs="Tahoma"/>
          <w:color w:val="auto"/>
          <w:sz w:val="20"/>
          <w:szCs w:val="20"/>
          <w:lang w:val="en-US"/>
        </w:rPr>
        <w:t>Havant</w:t>
      </w:r>
      <w:proofErr w:type="spellEnd"/>
      <w:r>
        <w:rPr>
          <w:rFonts w:ascii="Tahoma" w:hAnsi="Tahoma" w:cs="Tahoma"/>
          <w:color w:val="auto"/>
          <w:sz w:val="20"/>
          <w:szCs w:val="20"/>
          <w:lang w:val="en-US"/>
        </w:rPr>
        <w:t>, PO9 1NN (Contamination)</w:t>
      </w:r>
    </w:p>
    <w:p w:rsidR="00F05FC4" w:rsidRDefault="00F05FC4" w:rsidP="00F05FC4"/>
    <w:p w:rsidR="00F05FC4" w:rsidRDefault="00F05FC4" w:rsidP="00F05FC4">
      <w:pPr>
        <w:rPr>
          <w:rFonts w:ascii="Arial" w:hAnsi="Arial" w:cs="Arial"/>
          <w:color w:val="1F497D"/>
        </w:rPr>
      </w:pPr>
      <w:r>
        <w:rPr>
          <w:rFonts w:ascii="Arial" w:hAnsi="Arial" w:cs="Arial"/>
          <w:color w:val="1F497D"/>
        </w:rPr>
        <w:t xml:space="preserve">Dear Mr. Smith, </w:t>
      </w:r>
    </w:p>
    <w:p w:rsidR="00F05FC4" w:rsidRDefault="00F05FC4" w:rsidP="00F05FC4">
      <w:pPr>
        <w:rPr>
          <w:rFonts w:ascii="Arial" w:hAnsi="Arial" w:cs="Arial"/>
          <w:color w:val="1F497D"/>
        </w:rPr>
      </w:pPr>
    </w:p>
    <w:p w:rsidR="00F05FC4" w:rsidRDefault="00F05FC4" w:rsidP="00F05FC4">
      <w:pPr>
        <w:rPr>
          <w:rFonts w:ascii="Arial" w:hAnsi="Arial" w:cs="Arial"/>
          <w:color w:val="1F497D"/>
        </w:rPr>
      </w:pPr>
      <w:r>
        <w:rPr>
          <w:rFonts w:ascii="Arial" w:hAnsi="Arial" w:cs="Arial"/>
          <w:color w:val="1F497D"/>
        </w:rPr>
        <w:t xml:space="preserve">    Many thanks for the notes below – the detail on approximate position, type &amp; depth of the Southern Water Sewer main us useful contextual information that would not be present within the </w:t>
      </w:r>
      <w:proofErr w:type="spellStart"/>
      <w:r>
        <w:rPr>
          <w:rFonts w:ascii="Arial" w:hAnsi="Arial" w:cs="Arial"/>
          <w:color w:val="1F497D"/>
        </w:rPr>
        <w:t>Groundsure</w:t>
      </w:r>
      <w:proofErr w:type="spellEnd"/>
      <w:r>
        <w:rPr>
          <w:rFonts w:ascii="Arial" w:hAnsi="Arial" w:cs="Arial"/>
          <w:color w:val="1F497D"/>
        </w:rPr>
        <w:t xml:space="preserve"> report.  Detail on bank construction, site development history, and degree of soil cover (buildings / hardstand, etc.) is similarly useful, and is the kind of information that would typically form part of a walkover report.  </w:t>
      </w:r>
    </w:p>
    <w:p w:rsidR="00F05FC4" w:rsidRDefault="00F05FC4" w:rsidP="00F05FC4">
      <w:pPr>
        <w:rPr>
          <w:rFonts w:ascii="Arial" w:hAnsi="Arial" w:cs="Arial"/>
          <w:color w:val="1F497D"/>
        </w:rPr>
      </w:pPr>
    </w:p>
    <w:p w:rsidR="00F05FC4" w:rsidRDefault="00F05FC4" w:rsidP="00F05FC4">
      <w:pPr>
        <w:rPr>
          <w:rFonts w:ascii="Arial" w:hAnsi="Arial" w:cs="Arial"/>
          <w:color w:val="1F497D"/>
        </w:rPr>
      </w:pPr>
      <w:r>
        <w:rPr>
          <w:rFonts w:ascii="Arial" w:hAnsi="Arial" w:cs="Arial"/>
          <w:color w:val="1F497D"/>
        </w:rPr>
        <w:t xml:space="preserve">   With regards Palk Road, a condition was applied to that development, and an initial intrusive investigation undertaken.  That investigation identified some metals contamination, and elevated aromatics &amp; petroleum / kerosene range (also coincident with Biphenyl, transformer oil).  No specific tests were undertaken for chlorinated transformer oils, and the chain of evidence with regards the proposed risk mitigation measures agreed for the site is poor, such that I cannot be confident that no residual risks exist.  The planning condition remains outstanding at this point.  </w:t>
      </w:r>
    </w:p>
    <w:p w:rsidR="00F05FC4" w:rsidRDefault="00F05FC4" w:rsidP="00F05FC4">
      <w:pPr>
        <w:rPr>
          <w:rFonts w:ascii="Arial" w:hAnsi="Arial" w:cs="Arial"/>
          <w:color w:val="1F497D"/>
        </w:rPr>
      </w:pPr>
    </w:p>
    <w:p w:rsidR="00F05FC4" w:rsidRDefault="00F05FC4" w:rsidP="00F05FC4">
      <w:pPr>
        <w:rPr>
          <w:rFonts w:ascii="Arial" w:hAnsi="Arial" w:cs="Arial"/>
          <w:color w:val="1F497D"/>
        </w:rPr>
      </w:pPr>
      <w:r>
        <w:rPr>
          <w:rFonts w:ascii="Arial" w:hAnsi="Arial" w:cs="Arial"/>
          <w:color w:val="1F497D"/>
        </w:rPr>
        <w:t xml:space="preserve">   From the information that you have provided, there are a couple of relevant points – </w:t>
      </w:r>
    </w:p>
    <w:p w:rsidR="00F05FC4" w:rsidRDefault="00F05FC4" w:rsidP="00F05FC4">
      <w:pPr>
        <w:rPr>
          <w:rFonts w:ascii="Arial" w:hAnsi="Arial" w:cs="Arial"/>
          <w:color w:val="1F497D"/>
        </w:rPr>
      </w:pPr>
    </w:p>
    <w:p w:rsidR="00F05FC4" w:rsidRDefault="00F05FC4" w:rsidP="00F05FC4">
      <w:pPr>
        <w:pStyle w:val="ListParagraph"/>
        <w:numPr>
          <w:ilvl w:val="0"/>
          <w:numId w:val="1"/>
        </w:numPr>
        <w:rPr>
          <w:rFonts w:ascii="Arial" w:hAnsi="Arial" w:cs="Arial"/>
          <w:color w:val="1F497D"/>
        </w:rPr>
      </w:pPr>
      <w:r>
        <w:rPr>
          <w:rFonts w:ascii="Arial" w:hAnsi="Arial" w:cs="Arial"/>
          <w:color w:val="1F497D"/>
        </w:rPr>
        <w:t>Whilst the stream channel is engineered, there are weep holes to prevent water build-up in the retained earth – these are a potential migration pathway, and the wall should not therefore be regarded as a barrier.</w:t>
      </w:r>
    </w:p>
    <w:p w:rsidR="00F05FC4" w:rsidRDefault="00F05FC4" w:rsidP="00F05FC4">
      <w:pPr>
        <w:pStyle w:val="ListParagraph"/>
        <w:numPr>
          <w:ilvl w:val="0"/>
          <w:numId w:val="1"/>
        </w:numPr>
        <w:rPr>
          <w:rFonts w:ascii="Arial" w:hAnsi="Arial" w:cs="Arial"/>
          <w:color w:val="1F497D"/>
        </w:rPr>
      </w:pPr>
      <w:r>
        <w:rPr>
          <w:rFonts w:ascii="Arial" w:hAnsi="Arial" w:cs="Arial"/>
          <w:color w:val="1F497D"/>
        </w:rPr>
        <w:t>There is likely to be a band of made ground (disturbed soils) and potentially a granular pipe surround that might act as a preferential migration pathway for contamination (whether located on the site, or outside)</w:t>
      </w:r>
    </w:p>
    <w:p w:rsidR="00F05FC4" w:rsidRDefault="00F05FC4" w:rsidP="00F05FC4">
      <w:pPr>
        <w:pStyle w:val="ListParagraph"/>
        <w:numPr>
          <w:ilvl w:val="0"/>
          <w:numId w:val="1"/>
        </w:numPr>
        <w:rPr>
          <w:rFonts w:ascii="Arial" w:hAnsi="Arial" w:cs="Arial"/>
          <w:color w:val="1F497D"/>
        </w:rPr>
      </w:pPr>
      <w:r>
        <w:rPr>
          <w:rFonts w:ascii="Arial" w:hAnsi="Arial" w:cs="Arial"/>
          <w:color w:val="1F497D"/>
        </w:rPr>
        <w:t>The site currently has approximately 80% hard cover, likely more than under the completed development – this could increase the probability of contaminants on the site mobilising both during development &amp; post completion (through increased rainfall infiltration rates)</w:t>
      </w:r>
    </w:p>
    <w:p w:rsidR="00F05FC4" w:rsidRDefault="00F05FC4" w:rsidP="00F05FC4">
      <w:pPr>
        <w:pStyle w:val="ListParagraph"/>
        <w:numPr>
          <w:ilvl w:val="0"/>
          <w:numId w:val="1"/>
        </w:numPr>
        <w:rPr>
          <w:rFonts w:ascii="Arial" w:hAnsi="Arial" w:cs="Arial"/>
          <w:color w:val="1F497D"/>
        </w:rPr>
      </w:pPr>
      <w:r>
        <w:rPr>
          <w:rFonts w:ascii="Arial" w:hAnsi="Arial" w:cs="Arial"/>
          <w:color w:val="1F497D"/>
        </w:rPr>
        <w:t>The intended construction detail is fine – there is a natural ‘bio-gas’ risk from alluvium, and potentially a vapour risk from hydrocarbons.  Precautionary mitigations are fine (as an alternative to quantifying the degree of risk), however the measures should be capable of mitigating the potential risks; i.e. service penetrations will need to be sealed, or penetrate the building fabric above the barrier (i.e. not represent a pathway), and should be hydrocarbon resistant if the risk from volatile compounds has not been otherwise discounted by site sampling (soil or vapour).  Evidence should be provided on the efficacy of precautionary risk mitigation measures.</w:t>
      </w:r>
    </w:p>
    <w:p w:rsidR="00F05FC4" w:rsidRDefault="00F05FC4" w:rsidP="00F05FC4">
      <w:pPr>
        <w:rPr>
          <w:rFonts w:ascii="Arial" w:hAnsi="Arial" w:cs="Arial"/>
          <w:color w:val="1F497D"/>
        </w:rPr>
      </w:pPr>
    </w:p>
    <w:p w:rsidR="00F05FC4" w:rsidRDefault="00F05FC4" w:rsidP="00F05FC4">
      <w:pPr>
        <w:rPr>
          <w:rFonts w:ascii="Arial" w:hAnsi="Arial" w:cs="Arial"/>
          <w:color w:val="1F497D"/>
        </w:rPr>
      </w:pPr>
      <w:r>
        <w:rPr>
          <w:rFonts w:ascii="Arial" w:hAnsi="Arial" w:cs="Arial"/>
          <w:color w:val="1F497D"/>
        </w:rPr>
        <w:t xml:space="preserve">   With regards the identified risks and the timeline of development; the principle identified risk is essentially a migration of spilt / leaked transformer oils containing PCB’s (poly-chlorinated biphenyl’s), there is also a risk in this area that lead may be </w:t>
      </w:r>
      <w:r>
        <w:rPr>
          <w:rFonts w:ascii="Arial" w:hAnsi="Arial" w:cs="Arial"/>
          <w:color w:val="1F497D"/>
        </w:rPr>
        <w:lastRenderedPageBreak/>
        <w:t xml:space="preserve">materially elevated (to a point where some mitigation is required) in </w:t>
      </w:r>
      <w:proofErr w:type="spellStart"/>
      <w:r>
        <w:rPr>
          <w:rFonts w:ascii="Arial" w:hAnsi="Arial" w:cs="Arial"/>
          <w:color w:val="1F497D"/>
        </w:rPr>
        <w:t>topsoils</w:t>
      </w:r>
      <w:proofErr w:type="spellEnd"/>
      <w:r>
        <w:rPr>
          <w:rFonts w:ascii="Arial" w:hAnsi="Arial" w:cs="Arial"/>
          <w:color w:val="1F497D"/>
        </w:rPr>
        <w:t>, and/or that made ground could exist on site that might contain asbestos or other general contaminants.  I am mindful of the scale of the development, and am seeking a level of information sufficient to discount these potential risks (or devise appropriate mitigation, and ensure it’s implementation).</w:t>
      </w:r>
    </w:p>
    <w:p w:rsidR="00F05FC4" w:rsidRDefault="00F05FC4" w:rsidP="00F05FC4">
      <w:pPr>
        <w:rPr>
          <w:rFonts w:ascii="Arial" w:hAnsi="Arial" w:cs="Arial"/>
          <w:color w:val="1F497D"/>
        </w:rPr>
      </w:pPr>
    </w:p>
    <w:p w:rsidR="00F05FC4" w:rsidRDefault="00F05FC4" w:rsidP="00F05FC4">
      <w:pPr>
        <w:rPr>
          <w:rFonts w:ascii="Arial" w:hAnsi="Arial" w:cs="Arial"/>
          <w:color w:val="1F497D"/>
        </w:rPr>
      </w:pPr>
      <w:r>
        <w:rPr>
          <w:rFonts w:ascii="Arial" w:hAnsi="Arial" w:cs="Arial"/>
          <w:color w:val="1F497D"/>
        </w:rPr>
        <w:t xml:space="preserve">   A stand-alone formal desk study &amp; site walkover is unlikely to provide any more (materially significant) information than that contained within the </w:t>
      </w:r>
      <w:proofErr w:type="spellStart"/>
      <w:r>
        <w:rPr>
          <w:rFonts w:ascii="Arial" w:hAnsi="Arial" w:cs="Arial"/>
          <w:color w:val="1F497D"/>
        </w:rPr>
        <w:t>Groundsure</w:t>
      </w:r>
      <w:proofErr w:type="spellEnd"/>
      <w:r>
        <w:rPr>
          <w:rFonts w:ascii="Arial" w:hAnsi="Arial" w:cs="Arial"/>
          <w:color w:val="1F497D"/>
        </w:rPr>
        <w:t xml:space="preserve"> report and within your email, below.  Given the small scale of the site, and relative narrowness of the range of risks, a general intrusive investigation with groundwater sampling &amp; a soil gas screen is likely to provide a sufficient basis on which to make risk based decisions.  This is considered to be necessary for a residential scheme with private garden areas (as proposed), or indeed for any other type of residential scheme – not addressing these potential risks at this stage may prove to be a barrier to conveyance on initial sale, and on future property transactions; strong documentation on the assessment of environmental risks will assist property transactions.</w:t>
      </w:r>
    </w:p>
    <w:p w:rsidR="00F05FC4" w:rsidRDefault="00F05FC4" w:rsidP="00F05FC4">
      <w:pPr>
        <w:rPr>
          <w:rFonts w:ascii="Arial" w:hAnsi="Arial" w:cs="Arial"/>
          <w:color w:val="1F497D"/>
        </w:rPr>
      </w:pPr>
    </w:p>
    <w:p w:rsidR="00F05FC4" w:rsidRDefault="00F05FC4" w:rsidP="00F05FC4">
      <w:pPr>
        <w:rPr>
          <w:rFonts w:ascii="Arial" w:hAnsi="Arial" w:cs="Arial"/>
          <w:color w:val="1F497D"/>
        </w:rPr>
      </w:pPr>
      <w:r>
        <w:rPr>
          <w:rFonts w:ascii="Arial" w:hAnsi="Arial" w:cs="Arial"/>
          <w:color w:val="1F497D"/>
        </w:rPr>
        <w:t>   As indicated, it is not my role to specifically guide / design an investigation.  I would strongly recommend that you engage a competent environmentally focussed consultant (or geo-environmental consultant – it is usually possible to combine a basic environmental site investigation with a geotechnical investigation). I am however looking for the investigation to include assessment of PCB’s, contaminants in groundwater, general metals (lead in particular), and to consider soil gas.    Your nominated consultant will be able to advise on the required scope of investigations – this should be proportional to the scale of the site and the potential risks.  For guidance, I would not expect the investigation to take more than a day of fieldwork.</w:t>
      </w:r>
    </w:p>
    <w:p w:rsidR="00F05FC4" w:rsidRDefault="00F05FC4" w:rsidP="00F05FC4">
      <w:pPr>
        <w:rPr>
          <w:rFonts w:ascii="Arial" w:hAnsi="Arial" w:cs="Arial"/>
          <w:color w:val="1F497D"/>
        </w:rPr>
      </w:pPr>
    </w:p>
    <w:p w:rsidR="00F05FC4" w:rsidRDefault="00F05FC4" w:rsidP="00F05FC4">
      <w:pPr>
        <w:rPr>
          <w:rFonts w:ascii="Arial" w:hAnsi="Arial" w:cs="Arial"/>
          <w:color w:val="1F497D"/>
        </w:rPr>
      </w:pPr>
      <w:r>
        <w:rPr>
          <w:rFonts w:ascii="Arial" w:hAnsi="Arial" w:cs="Arial"/>
          <w:color w:val="1F497D"/>
        </w:rPr>
        <w:t xml:space="preserve">  I hope that the above is useful – </w:t>
      </w:r>
    </w:p>
    <w:p w:rsidR="00F05FC4" w:rsidRDefault="00F05FC4" w:rsidP="00F05FC4">
      <w:pPr>
        <w:rPr>
          <w:rFonts w:ascii="Arial" w:hAnsi="Arial" w:cs="Arial"/>
          <w:color w:val="1F497D"/>
        </w:rPr>
      </w:pPr>
    </w:p>
    <w:p w:rsidR="00F05FC4" w:rsidRDefault="00F05FC4" w:rsidP="00F05FC4">
      <w:pPr>
        <w:rPr>
          <w:rFonts w:ascii="Arial" w:hAnsi="Arial" w:cs="Arial"/>
          <w:color w:val="1F497D"/>
        </w:rPr>
      </w:pPr>
      <w:r>
        <w:rPr>
          <w:rFonts w:ascii="Arial" w:hAnsi="Arial" w:cs="Arial"/>
          <w:color w:val="1F497D"/>
        </w:rPr>
        <w:t xml:space="preserve">Best Regards, </w:t>
      </w:r>
    </w:p>
    <w:p w:rsidR="00F05FC4" w:rsidRDefault="00F05FC4" w:rsidP="00F05FC4">
      <w:pPr>
        <w:rPr>
          <w:rFonts w:ascii="Arial" w:hAnsi="Arial" w:cs="Arial"/>
          <w:color w:val="1F497D"/>
        </w:rPr>
      </w:pPr>
    </w:p>
    <w:p w:rsidR="00F05FC4" w:rsidRDefault="00F05FC4" w:rsidP="00F05FC4">
      <w:pPr>
        <w:rPr>
          <w:rFonts w:ascii="Arial" w:hAnsi="Arial" w:cs="Arial"/>
          <w:color w:val="1F497D"/>
        </w:rPr>
      </w:pPr>
    </w:p>
    <w:p w:rsidR="00F05FC4" w:rsidRDefault="00F05FC4" w:rsidP="00F05FC4">
      <w:pPr>
        <w:rPr>
          <w:rFonts w:ascii="Calibri" w:hAnsi="Calibri" w:cs="Calibri"/>
          <w:color w:val="1F497D"/>
          <w:sz w:val="22"/>
          <w:szCs w:val="22"/>
        </w:rPr>
      </w:pPr>
      <w:r>
        <w:rPr>
          <w:rFonts w:ascii="Calibri" w:hAnsi="Calibri" w:cs="Calibri"/>
          <w:color w:val="1F497D"/>
          <w:sz w:val="22"/>
          <w:szCs w:val="22"/>
        </w:rPr>
        <w:t>Jonathan Driver</w:t>
      </w:r>
    </w:p>
    <w:p w:rsidR="00F05FC4" w:rsidRDefault="00F05FC4" w:rsidP="00F05FC4">
      <w:pPr>
        <w:rPr>
          <w:rFonts w:ascii="Calibri" w:hAnsi="Calibri" w:cs="Calibri"/>
          <w:color w:val="1F497D"/>
          <w:sz w:val="22"/>
          <w:szCs w:val="22"/>
        </w:rPr>
      </w:pPr>
      <w:r>
        <w:rPr>
          <w:rFonts w:ascii="Calibri" w:hAnsi="Calibri" w:cs="Calibri"/>
          <w:color w:val="1F497D"/>
          <w:sz w:val="22"/>
          <w:szCs w:val="22"/>
        </w:rPr>
        <w:t>Environmental Control Officer</w:t>
      </w:r>
    </w:p>
    <w:p w:rsidR="00F05FC4" w:rsidRDefault="00F05FC4" w:rsidP="00F05FC4">
      <w:pPr>
        <w:rPr>
          <w:rFonts w:ascii="Calibri" w:hAnsi="Calibri" w:cs="Calibri"/>
          <w:color w:val="1F497D"/>
          <w:sz w:val="22"/>
          <w:szCs w:val="22"/>
        </w:rPr>
      </w:pPr>
    </w:p>
    <w:p w:rsidR="00F05FC4" w:rsidRDefault="00F05FC4" w:rsidP="00F05FC4">
      <w:pPr>
        <w:rPr>
          <w:rFonts w:ascii="Calibri" w:hAnsi="Calibri" w:cs="Calibri"/>
          <w:color w:val="1F497D"/>
          <w:sz w:val="22"/>
          <w:szCs w:val="22"/>
        </w:rPr>
      </w:pPr>
      <w:r>
        <w:rPr>
          <w:rFonts w:ascii="Calibri" w:hAnsi="Calibri" w:cs="Calibri"/>
          <w:color w:val="1F497D"/>
          <w:sz w:val="22"/>
          <w:szCs w:val="22"/>
        </w:rPr>
        <w:t>Environmental Health, Public Service Plaza, Civic Centre Road, Havant, Hants  PO9 2AX</w:t>
      </w:r>
    </w:p>
    <w:p w:rsidR="00F05FC4" w:rsidRDefault="00F05FC4" w:rsidP="00F05FC4">
      <w:pPr>
        <w:rPr>
          <w:rFonts w:ascii="Calibri" w:hAnsi="Calibri" w:cs="Calibri"/>
          <w:color w:val="1F497D"/>
          <w:sz w:val="22"/>
          <w:szCs w:val="22"/>
        </w:rPr>
      </w:pPr>
      <w:r>
        <w:rPr>
          <w:rFonts w:ascii="Calibri" w:hAnsi="Calibri" w:cs="Calibri"/>
          <w:color w:val="1F497D"/>
          <w:sz w:val="22"/>
          <w:szCs w:val="22"/>
        </w:rPr>
        <w:t xml:space="preserve">Email: </w:t>
      </w:r>
      <w:hyperlink r:id="rId6" w:history="1">
        <w:r>
          <w:rPr>
            <w:rStyle w:val="Hyperlink"/>
            <w:rFonts w:ascii="Calibri" w:hAnsi="Calibri" w:cs="Calibri"/>
            <w:sz w:val="22"/>
            <w:szCs w:val="22"/>
          </w:rPr>
          <w:t>jonathan.driver@havant.gov.uk</w:t>
        </w:r>
      </w:hyperlink>
    </w:p>
    <w:p w:rsidR="00F05FC4" w:rsidRDefault="00F05FC4" w:rsidP="00F05FC4">
      <w:pPr>
        <w:rPr>
          <w:rFonts w:ascii="Calibri" w:hAnsi="Calibri" w:cs="Calibri"/>
          <w:color w:val="1F497D"/>
          <w:sz w:val="22"/>
          <w:szCs w:val="22"/>
        </w:rPr>
      </w:pPr>
      <w:r>
        <w:rPr>
          <w:rFonts w:ascii="Calibri" w:hAnsi="Calibri" w:cs="Calibri"/>
          <w:color w:val="1F497D"/>
          <w:sz w:val="22"/>
          <w:szCs w:val="22"/>
        </w:rPr>
        <w:t>Tel (Direct Dial): 023 9244 6677</w:t>
      </w:r>
    </w:p>
    <w:p w:rsidR="00F05FC4" w:rsidRDefault="00F05FC4" w:rsidP="00F05FC4">
      <w:pPr>
        <w:rPr>
          <w:rFonts w:ascii="Calibri" w:hAnsi="Calibri" w:cs="Calibri"/>
          <w:color w:val="1F497D"/>
          <w:sz w:val="22"/>
          <w:szCs w:val="22"/>
        </w:rPr>
      </w:pPr>
      <w:r>
        <w:rPr>
          <w:rFonts w:ascii="Calibri" w:hAnsi="Calibri" w:cs="Calibri"/>
          <w:color w:val="1F497D"/>
          <w:sz w:val="22"/>
          <w:szCs w:val="22"/>
        </w:rPr>
        <w:t>Tel (Team Admin): 023 9244 6670</w:t>
      </w:r>
    </w:p>
    <w:p w:rsidR="00726AA8" w:rsidRDefault="00726AA8"/>
    <w:sectPr w:rsidR="00726A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FF6084"/>
    <w:multiLevelType w:val="hybridMultilevel"/>
    <w:tmpl w:val="0CD0F7DE"/>
    <w:lvl w:ilvl="0" w:tplc="166A2EB4">
      <w:numFmt w:val="bullet"/>
      <w:lvlText w:val=""/>
      <w:lvlJc w:val="left"/>
      <w:pPr>
        <w:ind w:left="720" w:hanging="360"/>
      </w:pPr>
      <w:rPr>
        <w:rFonts w:ascii="Wingdings" w:eastAsia="Times New Roman" w:hAnsi="Wingding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FC4"/>
    <w:rsid w:val="00726AA8"/>
    <w:rsid w:val="00F05F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FC4"/>
    <w:pPr>
      <w:spacing w:after="0" w:line="240" w:lineRule="auto"/>
    </w:pPr>
    <w:rPr>
      <w:rFonts w:ascii="Times New Roman" w:hAnsi="Times New Roman" w:cs="Times New Roman"/>
      <w:color w:val="00000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05FC4"/>
    <w:rPr>
      <w:color w:val="0000FF"/>
      <w:u w:val="single"/>
    </w:rPr>
  </w:style>
  <w:style w:type="paragraph" w:styleId="ListParagraph">
    <w:name w:val="List Paragraph"/>
    <w:basedOn w:val="Normal"/>
    <w:uiPriority w:val="34"/>
    <w:qFormat/>
    <w:rsid w:val="00F05FC4"/>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FC4"/>
    <w:pPr>
      <w:spacing w:after="0" w:line="240" w:lineRule="auto"/>
    </w:pPr>
    <w:rPr>
      <w:rFonts w:ascii="Times New Roman" w:hAnsi="Times New Roman" w:cs="Times New Roman"/>
      <w:color w:val="00000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05FC4"/>
    <w:rPr>
      <w:color w:val="0000FF"/>
      <w:u w:val="single"/>
    </w:rPr>
  </w:style>
  <w:style w:type="paragraph" w:styleId="ListParagraph">
    <w:name w:val="List Paragraph"/>
    <w:basedOn w:val="Normal"/>
    <w:uiPriority w:val="34"/>
    <w:qFormat/>
    <w:rsid w:val="00F05FC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883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nathan.driver@havant.gov.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784</Words>
  <Characters>4474</Characters>
  <Application>Microsoft Office Word</Application>
  <DocSecurity>0</DocSecurity>
  <Lines>37</Lines>
  <Paragraphs>10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From: Jonathan Driver  Sent: 11 December 2015 11:55 To: m smith  Cc: Daphney Hay</vt:lpstr>
    </vt:vector>
  </TitlesOfParts>
  <Company>Hampshire County Council</Company>
  <LinksUpToDate>false</LinksUpToDate>
  <CharactersWithSpaces>5248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JenniferP</dc:creator>
  <cp:lastModifiedBy>JenniferP</cp:lastModifiedBy>
  <cp:revision>1</cp:revision>
  <dcterms:created xsi:type="dcterms:W3CDTF">2015-12-17T10:09:00Z</dcterms:created>
  <dcterms:modified xsi:type="dcterms:W3CDTF">2015-12-17T10:11:00Z</dcterms:modified>
</cp:coreProperties>
</file>