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D72EA" w14:textId="77777777" w:rsidR="00635A08" w:rsidRDefault="00635A08">
      <w:pPr>
        <w:pStyle w:val="Body"/>
        <w:spacing w:after="0" w:line="240" w:lineRule="auto"/>
        <w:jc w:val="center"/>
        <w:rPr>
          <w:b/>
          <w:bCs/>
          <w:sz w:val="36"/>
          <w:szCs w:val="36"/>
          <w:u w:val="single"/>
        </w:rPr>
      </w:pPr>
    </w:p>
    <w:p w14:paraId="33CE8388" w14:textId="77777777" w:rsidR="00635A08" w:rsidRDefault="00635A08">
      <w:pPr>
        <w:pStyle w:val="Body"/>
        <w:spacing w:after="0" w:line="240" w:lineRule="auto"/>
        <w:jc w:val="center"/>
        <w:rPr>
          <w:b/>
          <w:bCs/>
          <w:sz w:val="36"/>
          <w:szCs w:val="36"/>
          <w:u w:val="single"/>
        </w:rPr>
      </w:pPr>
    </w:p>
    <w:p w14:paraId="299AE05E" w14:textId="77777777" w:rsidR="00A66457" w:rsidRPr="00A66457" w:rsidRDefault="00A66457" w:rsidP="00A66457">
      <w:pPr>
        <w:pStyle w:val="Body"/>
      </w:pPr>
      <w:r w:rsidRPr="00A66457">
        <w:t>Planning Department</w:t>
      </w:r>
      <w:r w:rsidRPr="00A66457">
        <w:br/>
        <w:t>Havant Borough Council</w:t>
      </w:r>
      <w:r w:rsidRPr="00A66457">
        <w:br/>
        <w:t>Public Service Plaza</w:t>
      </w:r>
      <w:r w:rsidRPr="00A66457">
        <w:br/>
        <w:t>Civic Centre Road</w:t>
      </w:r>
      <w:r w:rsidRPr="00A66457">
        <w:br/>
        <w:t>Havant</w:t>
      </w:r>
      <w:r w:rsidRPr="00A66457">
        <w:br/>
        <w:t>PO9 2AX</w:t>
      </w:r>
    </w:p>
    <w:p w14:paraId="359E462C" w14:textId="77777777" w:rsidR="00A66457" w:rsidRPr="00A66457" w:rsidRDefault="00A66457" w:rsidP="00A66457">
      <w:pPr>
        <w:pStyle w:val="Body"/>
      </w:pPr>
      <w:r w:rsidRPr="00A66457">
        <w:t>Dear Sir/Madam,</w:t>
      </w:r>
    </w:p>
    <w:p w14:paraId="13F6DF87" w14:textId="77777777" w:rsidR="00A66457" w:rsidRPr="00A66457" w:rsidRDefault="00A66457" w:rsidP="00A66457">
      <w:pPr>
        <w:pStyle w:val="Body"/>
      </w:pPr>
      <w:r w:rsidRPr="00A66457">
        <w:rPr>
          <w:b/>
          <w:bCs/>
        </w:rPr>
        <w:t>Application for Erection of a Granny Annex at 23 Elmwood Avenue, Waterlooville, PO7 7LG</w:t>
      </w:r>
    </w:p>
    <w:p w14:paraId="00E9F3D8" w14:textId="77777777" w:rsidR="00A66457" w:rsidRPr="00A66457" w:rsidRDefault="00A66457" w:rsidP="00A66457">
      <w:pPr>
        <w:pStyle w:val="Body"/>
      </w:pPr>
      <w:r w:rsidRPr="00A66457">
        <w:t>On behalf of my client, I am pleased to submit this application for the erection of a modest single-storey granny annex within the rear garden of 23 Elmwood Avenue, Waterlooville.</w:t>
      </w:r>
    </w:p>
    <w:p w14:paraId="2A3C68FB" w14:textId="71A1B426" w:rsidR="00A66457" w:rsidRDefault="00A66457" w:rsidP="00A66457">
      <w:pPr>
        <w:pStyle w:val="Body"/>
      </w:pPr>
      <w:r w:rsidRPr="00A66457">
        <w:rPr>
          <w:b/>
          <w:bCs/>
        </w:rPr>
        <w:t>Proposal</w:t>
      </w:r>
      <w:r w:rsidRPr="00A66457">
        <w:br/>
        <w:t>The annex will provide ancillary living accommodation for a dependent family member</w:t>
      </w:r>
      <w:r>
        <w:t xml:space="preserve">, in this case the </w:t>
      </w:r>
      <w:proofErr w:type="gramStart"/>
      <w:r>
        <w:t>applicants</w:t>
      </w:r>
      <w:proofErr w:type="gramEnd"/>
      <w:r>
        <w:t xml:space="preserve"> father</w:t>
      </w:r>
      <w:r w:rsidRPr="00A66457">
        <w:t>. The structure has been carefully designed to remain subservient to the host dwelling, measuring only 2.5 metres in height, with a footprint proportionate to the size of the garden. No adverse impacts upon neighbouring properties will arise in terms of overlooking, loss of light, or overbearing presence.</w:t>
      </w:r>
    </w:p>
    <w:p w14:paraId="11AA1407" w14:textId="77994CA6" w:rsidR="00C2000D" w:rsidRPr="00A66457" w:rsidRDefault="00C2000D" w:rsidP="00A66457">
      <w:pPr>
        <w:pStyle w:val="Body"/>
      </w:pPr>
      <w:r>
        <w:t xml:space="preserve">An existing outbuilding use for garden storage is currently on the site; this is proposed to be moved to another location in the garden on the northern boundary. This outbuilding is less than 2.5m in height, and is therefore wholly compliant with </w:t>
      </w:r>
      <w:r w:rsidRPr="00A66457">
        <w:t>Class E of the Town and Country Planning (General Permitted Development) Order 2015 (as amended</w:t>
      </w:r>
      <w:r>
        <w:t>).</w:t>
      </w:r>
    </w:p>
    <w:p w14:paraId="6A9431E9" w14:textId="04243786" w:rsidR="00A66457" w:rsidRPr="00A66457" w:rsidRDefault="00A66457" w:rsidP="00A66457">
      <w:pPr>
        <w:pStyle w:val="Body"/>
      </w:pPr>
      <w:r w:rsidRPr="00A66457">
        <w:rPr>
          <w:b/>
          <w:bCs/>
        </w:rPr>
        <w:t>Site Context</w:t>
      </w:r>
      <w:r w:rsidRPr="00A66457">
        <w:br/>
        <w:t xml:space="preserve">23 Elmwood Avenue is a two-storey residential property with a generous rear garden. The proposed annex is to be positioned comfortably within the curtilage, well separated from site boundaries, and entirely to the rear of the principal elevation. The site is not within a Conservation Area, not subject to an Article 4 Direction, and the host property is not </w:t>
      </w:r>
      <w:r>
        <w:t xml:space="preserve">a </w:t>
      </w:r>
      <w:r w:rsidRPr="00A66457">
        <w:t>Listed</w:t>
      </w:r>
      <w:r>
        <w:t xml:space="preserve"> Building</w:t>
      </w:r>
      <w:r w:rsidRPr="00A66457">
        <w:t>.</w:t>
      </w:r>
    </w:p>
    <w:p w14:paraId="524B9CFC" w14:textId="266004EF" w:rsidR="00A66457" w:rsidRPr="00A66457" w:rsidRDefault="00A66457" w:rsidP="00A66457">
      <w:pPr>
        <w:pStyle w:val="Body"/>
      </w:pPr>
      <w:r w:rsidRPr="00A66457">
        <w:rPr>
          <w:b/>
          <w:bCs/>
        </w:rPr>
        <w:t>Principle of Development</w:t>
      </w:r>
      <w:r w:rsidRPr="00A66457">
        <w:br/>
        <w:t>The proposal is for a form of ancillary residential accommodation, remaining intrinsically linked to the host dwelling and incapable of occupation as a separate unit. National planning guidance, including the NPPF supports developments that provide adaptable accommodation for families and meet the changing needs of residents. Local Plan policy similarly recognises the importance of flexible housing provision.</w:t>
      </w:r>
    </w:p>
    <w:p w14:paraId="39D24FE8" w14:textId="77777777" w:rsidR="00A66457" w:rsidRDefault="00A66457" w:rsidP="00A66457">
      <w:pPr>
        <w:pStyle w:val="Body"/>
      </w:pPr>
      <w:r w:rsidRPr="00A66457">
        <w:t xml:space="preserve">While the design and scale of the annex meet the dimensional criteria set out in Class E of the Town and Country Planning (General Permitted Development) Order 2015 (as </w:t>
      </w:r>
      <w:r w:rsidRPr="00A66457">
        <w:lastRenderedPageBreak/>
        <w:t>amended), the intended use as habitable accommodation necessitates the submission of this application. On planning merit, the development is entirely acceptable.</w:t>
      </w:r>
    </w:p>
    <w:p w14:paraId="1DFD716A" w14:textId="12B7A862" w:rsidR="00A66457" w:rsidRDefault="00A66457" w:rsidP="00A66457">
      <w:pPr>
        <w:pStyle w:val="Body"/>
      </w:pPr>
      <w:r>
        <w:t>While the proposed development would result in an additional habitable accommodation that has the potential to be occupied independently, we can confirm that the accommodation is intended for the applicant's father, and the annexe would still be</w:t>
      </w:r>
    </w:p>
    <w:p w14:paraId="04927010" w14:textId="57AA37BB" w:rsidR="00A66457" w:rsidRDefault="00A66457" w:rsidP="00A66457">
      <w:pPr>
        <w:pStyle w:val="Body"/>
      </w:pPr>
      <w:r>
        <w:t>functionally connected the main residence. The access to the annexe will be through the existing rear garden gate, while the garden space will be shared.</w:t>
      </w:r>
    </w:p>
    <w:p w14:paraId="33FD01BA" w14:textId="7117FECB" w:rsidR="00A66457" w:rsidRPr="00A66457" w:rsidRDefault="00A66457" w:rsidP="00A66457">
      <w:pPr>
        <w:pStyle w:val="Body"/>
      </w:pPr>
      <w:r>
        <w:t>We would be acceptable to a condition to ensure the annexe is used solely for ancillary purposes.</w:t>
      </w:r>
    </w:p>
    <w:p w14:paraId="54504162" w14:textId="77777777" w:rsidR="00A66457" w:rsidRPr="00A66457" w:rsidRDefault="00A66457" w:rsidP="00A66457">
      <w:pPr>
        <w:pStyle w:val="Body"/>
      </w:pPr>
      <w:r w:rsidRPr="00A66457">
        <w:rPr>
          <w:b/>
          <w:bCs/>
        </w:rPr>
        <w:t>Assessment</w:t>
      </w:r>
    </w:p>
    <w:p w14:paraId="25E93F18" w14:textId="77777777" w:rsidR="00A66457" w:rsidRPr="00A66457" w:rsidRDefault="00A66457" w:rsidP="00A66457">
      <w:pPr>
        <w:pStyle w:val="Body"/>
        <w:numPr>
          <w:ilvl w:val="0"/>
          <w:numId w:val="1"/>
        </w:numPr>
      </w:pPr>
      <w:r w:rsidRPr="00A66457">
        <w:rPr>
          <w:b/>
          <w:bCs/>
        </w:rPr>
        <w:t>Residential Amenity:</w:t>
      </w:r>
      <w:r w:rsidRPr="00A66457">
        <w:t> The annex is of modest scale and sited to avoid overshadowing or loss of privacy for neighbouring occupiers.</w:t>
      </w:r>
    </w:p>
    <w:p w14:paraId="0026442E" w14:textId="407FD465" w:rsidR="00A66457" w:rsidRPr="00A66457" w:rsidRDefault="00A66457" w:rsidP="00A66457">
      <w:pPr>
        <w:pStyle w:val="Body"/>
        <w:numPr>
          <w:ilvl w:val="0"/>
          <w:numId w:val="1"/>
        </w:numPr>
      </w:pPr>
      <w:r w:rsidRPr="00A66457">
        <w:rPr>
          <w:b/>
          <w:bCs/>
        </w:rPr>
        <w:t>Character and Appearance:</w:t>
      </w:r>
      <w:r w:rsidRPr="00A66457">
        <w:t> The design is sympathetic and subordinate to the host dwelling, utilising appropriate materials and proportions</w:t>
      </w:r>
      <w:r>
        <w:t xml:space="preserve"> that would typically be found in a residential outbuilding.</w:t>
      </w:r>
    </w:p>
    <w:p w14:paraId="57123EA0" w14:textId="77777777" w:rsidR="00A66457" w:rsidRPr="00A66457" w:rsidRDefault="00A66457" w:rsidP="00A66457">
      <w:pPr>
        <w:pStyle w:val="Body"/>
        <w:numPr>
          <w:ilvl w:val="0"/>
          <w:numId w:val="1"/>
        </w:numPr>
      </w:pPr>
      <w:r w:rsidRPr="00A66457">
        <w:rPr>
          <w:b/>
          <w:bCs/>
        </w:rPr>
        <w:t>Highways/Parking:</w:t>
      </w:r>
      <w:r w:rsidRPr="00A66457">
        <w:t> The proposal does not alter existing access or parking arrangements.</w:t>
      </w:r>
    </w:p>
    <w:p w14:paraId="71F95684" w14:textId="77777777" w:rsidR="00A66457" w:rsidRPr="00A66457" w:rsidRDefault="00A66457" w:rsidP="00A66457">
      <w:pPr>
        <w:pStyle w:val="Body"/>
        <w:numPr>
          <w:ilvl w:val="0"/>
          <w:numId w:val="1"/>
        </w:numPr>
      </w:pPr>
      <w:r w:rsidRPr="00A66457">
        <w:rPr>
          <w:b/>
          <w:bCs/>
        </w:rPr>
        <w:t>Sustainability:</w:t>
      </w:r>
      <w:r w:rsidRPr="00A66457">
        <w:t> The annex enables the family to provide for the care needs of a dependent relative within their own home, reducing pressure on housing stock and social care provision.</w:t>
      </w:r>
    </w:p>
    <w:p w14:paraId="0578FEBE" w14:textId="77777777" w:rsidR="00A66457" w:rsidRPr="00A66457" w:rsidRDefault="00A66457" w:rsidP="00A66457">
      <w:pPr>
        <w:pStyle w:val="Body"/>
      </w:pPr>
      <w:r w:rsidRPr="00A66457">
        <w:rPr>
          <w:b/>
          <w:bCs/>
        </w:rPr>
        <w:t>Conclusion</w:t>
      </w:r>
      <w:r w:rsidRPr="00A66457">
        <w:br/>
        <w:t>The proposal represents a sustainable, proportionate, and policy-compliant form of development which will assist the applicant’s family in meeting genuine care needs. It will not give rise to any adverse amenity, character, or highway impacts.</w:t>
      </w:r>
    </w:p>
    <w:p w14:paraId="1E62279A" w14:textId="77777777" w:rsidR="00635A08" w:rsidRDefault="00000000">
      <w:pPr>
        <w:pStyle w:val="Body"/>
      </w:pPr>
      <w:r>
        <w:rPr>
          <w:lang w:val="en-US"/>
        </w:rPr>
        <w:t>Should any further information be requested to assist in the council</w:t>
      </w:r>
      <w:r>
        <w:rPr>
          <w:rtl/>
        </w:rPr>
        <w:t>’</w:t>
      </w:r>
      <w:r>
        <w:rPr>
          <w:lang w:val="en-US"/>
        </w:rPr>
        <w:t>s assessment of the proposal, please do not hesitate to contact me directly.</w:t>
      </w:r>
    </w:p>
    <w:p w14:paraId="369606E1" w14:textId="77777777" w:rsidR="00635A08" w:rsidRDefault="00000000">
      <w:pPr>
        <w:pStyle w:val="Body"/>
      </w:pPr>
      <w:r>
        <w:rPr>
          <w:lang w:val="en-US"/>
        </w:rPr>
        <w:t xml:space="preserve">John M Aynsley MPlan </w:t>
      </w:r>
      <w:r>
        <w:rPr>
          <w:lang w:val="pt-PT"/>
        </w:rPr>
        <w:t>MRTPI</w:t>
      </w:r>
      <w:r>
        <w:br/>
      </w:r>
      <w:r>
        <w:rPr>
          <w:lang w:val="en-US"/>
        </w:rPr>
        <w:t>Planning Consultant</w:t>
      </w:r>
      <w:r>
        <w:br/>
        <w:t>T 0203 581 1233</w:t>
      </w:r>
      <w:r>
        <w:br/>
      </w:r>
      <w:hyperlink r:id="rId7" w:history="1">
        <w:r w:rsidR="00635A08">
          <w:rPr>
            <w:lang w:val="it-IT"/>
          </w:rPr>
          <w:t>info@studiocharrette.co.uk</w:t>
        </w:r>
      </w:hyperlink>
      <w:r>
        <w:br/>
      </w:r>
      <w:r>
        <w:rPr>
          <w:lang w:val="it-IT"/>
        </w:rPr>
        <w:t>www.studiocharrette.co.uk</w:t>
      </w:r>
    </w:p>
    <w:sectPr w:rsidR="00635A08">
      <w:headerReference w:type="default" r:id="rId8"/>
      <w:footerReference w:type="default" r:id="rId9"/>
      <w:pgSz w:w="11900" w:h="16840"/>
      <w:pgMar w:top="993"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F452A" w14:textId="77777777" w:rsidR="009B46EE" w:rsidRDefault="009B46EE">
      <w:r>
        <w:separator/>
      </w:r>
    </w:p>
  </w:endnote>
  <w:endnote w:type="continuationSeparator" w:id="0">
    <w:p w14:paraId="2879223A" w14:textId="77777777" w:rsidR="009B46EE" w:rsidRDefault="009B4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D2A9D" w14:textId="77777777" w:rsidR="00635A08" w:rsidRDefault="00000000">
    <w:pPr>
      <w:pStyle w:val="Footer"/>
      <w:tabs>
        <w:tab w:val="clear" w:pos="9360"/>
        <w:tab w:val="right" w:pos="9000"/>
      </w:tabs>
    </w:pPr>
    <w:r>
      <w:rPr>
        <w:noProof/>
      </w:rPr>
      <w:drawing>
        <wp:inline distT="0" distB="0" distL="0" distR="0" wp14:anchorId="6DE806A1" wp14:editId="79533F67">
          <wp:extent cx="5730875" cy="615950"/>
          <wp:effectExtent l="0" t="0" r="0" b="0"/>
          <wp:docPr id="1073741826" name="officeArt object" descr="Picture 5"/>
          <wp:cNvGraphicFramePr/>
          <a:graphic xmlns:a="http://schemas.openxmlformats.org/drawingml/2006/main">
            <a:graphicData uri="http://schemas.openxmlformats.org/drawingml/2006/picture">
              <pic:pic xmlns:pic="http://schemas.openxmlformats.org/drawingml/2006/picture">
                <pic:nvPicPr>
                  <pic:cNvPr id="1073741826" name="Picture 5" descr="Picture 5"/>
                  <pic:cNvPicPr>
                    <a:picLocks noChangeAspect="1"/>
                  </pic:cNvPicPr>
                </pic:nvPicPr>
                <pic:blipFill>
                  <a:blip r:embed="rId1"/>
                  <a:stretch>
                    <a:fillRect/>
                  </a:stretch>
                </pic:blipFill>
                <pic:spPr>
                  <a:xfrm>
                    <a:off x="0" y="0"/>
                    <a:ext cx="5730875" cy="61595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F4FF4" w14:textId="77777777" w:rsidR="009B46EE" w:rsidRDefault="009B46EE">
      <w:r>
        <w:separator/>
      </w:r>
    </w:p>
  </w:footnote>
  <w:footnote w:type="continuationSeparator" w:id="0">
    <w:p w14:paraId="729C8D58" w14:textId="77777777" w:rsidR="009B46EE" w:rsidRDefault="009B4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E2CF0" w14:textId="77777777" w:rsidR="00635A08" w:rsidRDefault="00000000">
    <w:pPr>
      <w:pStyle w:val="Header"/>
      <w:tabs>
        <w:tab w:val="clear" w:pos="9360"/>
        <w:tab w:val="right" w:pos="9000"/>
      </w:tabs>
    </w:pPr>
    <w:r>
      <w:rPr>
        <w:noProof/>
      </w:rPr>
      <w:drawing>
        <wp:inline distT="0" distB="0" distL="0" distR="0" wp14:anchorId="56195110" wp14:editId="2447B499">
          <wp:extent cx="1670686" cy="542291"/>
          <wp:effectExtent l="0" t="0" r="0" b="0"/>
          <wp:docPr id="1073741825" name="officeArt object" descr="Picture 13"/>
          <wp:cNvGraphicFramePr/>
          <a:graphic xmlns:a="http://schemas.openxmlformats.org/drawingml/2006/main">
            <a:graphicData uri="http://schemas.openxmlformats.org/drawingml/2006/picture">
              <pic:pic xmlns:pic="http://schemas.openxmlformats.org/drawingml/2006/picture">
                <pic:nvPicPr>
                  <pic:cNvPr id="1073741825" name="Picture 13" descr="Picture 13"/>
                  <pic:cNvPicPr>
                    <a:picLocks noChangeAspect="1"/>
                  </pic:cNvPicPr>
                </pic:nvPicPr>
                <pic:blipFill>
                  <a:blip r:embed="rId1"/>
                  <a:stretch>
                    <a:fillRect/>
                  </a:stretch>
                </pic:blipFill>
                <pic:spPr>
                  <a:xfrm>
                    <a:off x="0" y="0"/>
                    <a:ext cx="1670686" cy="542291"/>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B28F6"/>
    <w:multiLevelType w:val="multilevel"/>
    <w:tmpl w:val="2B58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6418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displayBackgroundShape/>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457"/>
    <w:rsid w:val="00112F2F"/>
    <w:rsid w:val="001715E6"/>
    <w:rsid w:val="004E41E7"/>
    <w:rsid w:val="00635A08"/>
    <w:rsid w:val="006C767D"/>
    <w:rsid w:val="00770703"/>
    <w:rsid w:val="0091040F"/>
    <w:rsid w:val="009A1C78"/>
    <w:rsid w:val="009B46EE"/>
    <w:rsid w:val="00A66457"/>
    <w:rsid w:val="00C2000D"/>
    <w:rsid w:val="00E96098"/>
    <w:rsid w:val="00F32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4B8118"/>
  <w15:docId w15:val="{9EAEE6E4-A88E-5B4E-B95D-F2C4D3883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2">
    <w:name w:val="heading 2"/>
    <w:next w:val="Body"/>
    <w:uiPriority w:val="9"/>
    <w:unhideWhenUsed/>
    <w:qFormat/>
    <w:pPr>
      <w:keepNext/>
      <w:outlineLvl w:val="1"/>
    </w:pPr>
    <w:rPr>
      <w:rFonts w:ascii="Calibri" w:hAnsi="Calibri" w:cs="Arial Unicode MS"/>
      <w:b/>
      <w:bCs/>
      <w:color w:val="000000"/>
      <w:sz w:val="32"/>
      <w:szCs w:val="32"/>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lang w:val="en-US"/>
    </w:rPr>
  </w:style>
  <w:style w:type="paragraph" w:styleId="Footer">
    <w:name w:val="footer"/>
    <w:pPr>
      <w:tabs>
        <w:tab w:val="center" w:pos="4680"/>
        <w:tab w:val="right" w:pos="9360"/>
      </w:tabs>
    </w:pPr>
    <w:rPr>
      <w:rFonts w:ascii="Calibri" w:hAnsi="Calibri" w:cs="Arial Unicode MS"/>
      <w:color w:val="000000"/>
      <w:sz w:val="22"/>
      <w:szCs w:val="22"/>
      <w:u w:color="000000"/>
      <w:lang w:val="en-US"/>
    </w:rPr>
  </w:style>
  <w:style w:type="paragraph" w:customStyle="1" w:styleId="Body">
    <w:name w:val="Body"/>
    <w:pPr>
      <w:spacing w:after="160" w:line="259" w:lineRule="auto"/>
    </w:pPr>
    <w:rPr>
      <w:rFonts w:ascii="Calibri" w:hAnsi="Calibri" w:cs="Arial Unicode MS"/>
      <w:color w:val="000000"/>
      <w:sz w:val="24"/>
      <w:szCs w:val="24"/>
      <w:u w:color="000000"/>
      <w14:textOutline w14:w="0" w14:cap="flat" w14:cmpd="sng" w14:algn="ctr">
        <w14:noFill/>
        <w14:prstDash w14:val="solid"/>
        <w14:bevel/>
      </w14:textOutline>
    </w:rPr>
  </w:style>
  <w:style w:type="paragraph" w:customStyle="1" w:styleId="Heading">
    <w:name w:val="Heading"/>
    <w:next w:val="Body"/>
    <w:pPr>
      <w:keepNext/>
      <w:outlineLvl w:val="0"/>
    </w:pPr>
    <w:rPr>
      <w:rFonts w:ascii="Calibri" w:hAnsi="Calibri" w:cs="Arial Unicode MS"/>
      <w:b/>
      <w:bCs/>
      <w:color w:val="000000"/>
      <w:sz w:val="36"/>
      <w:szCs w:val="36"/>
      <w:lang w:val="fr-FR"/>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studiocharrett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hnaynsley/Library/Group%20Containers/UBF8T346G9.Office/User%20Content.localized/Templates.localized/SC%20Planning%20&amp;%20Heritage%20Statement%20Template.dotx"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SC Planning &amp; Heritage Statement Template.dotx</Template>
  <TotalTime>7</TotalTime>
  <Pages>2</Pages>
  <Words>596</Words>
  <Characters>3401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M Aynsley</dc:creator>
  <cp:lastModifiedBy>John M Aynsley</cp:lastModifiedBy>
  <cp:revision>2</cp:revision>
  <dcterms:created xsi:type="dcterms:W3CDTF">2025-09-02T10:35:00Z</dcterms:created>
  <dcterms:modified xsi:type="dcterms:W3CDTF">2025-09-02T14:14:00Z</dcterms:modified>
</cp:coreProperties>
</file>