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45C0B" w14:textId="77777777" w:rsidR="0070510B" w:rsidRPr="0070510B" w:rsidRDefault="0070510B" w:rsidP="0070510B">
      <w:pPr>
        <w:autoSpaceDE w:val="0"/>
        <w:autoSpaceDN w:val="0"/>
        <w:adjustRightInd w:val="0"/>
        <w:spacing w:after="0" w:line="240" w:lineRule="auto"/>
        <w:rPr>
          <w:rFonts w:ascii="Arial" w:eastAsia="ArialMT" w:hAnsi="Arial" w:cs="Arial"/>
          <w:b/>
          <w:bCs/>
          <w:color w:val="000000"/>
          <w:lang w:val="en-US"/>
        </w:rPr>
      </w:pPr>
      <w:r w:rsidRPr="0070510B">
        <w:rPr>
          <w:rFonts w:ascii="Arial" w:eastAsia="ArialMT" w:hAnsi="Arial" w:cs="Arial"/>
          <w:b/>
          <w:bCs/>
          <w:color w:val="000000"/>
          <w:lang w:val="en-US"/>
        </w:rPr>
        <w:t>APP/25/00639 Proposed Development site (former Electricity Board site), Bartons Road, Havant</w:t>
      </w:r>
    </w:p>
    <w:p w14:paraId="40CC9F60" w14:textId="77777777" w:rsidR="00872EFA" w:rsidRDefault="00872EFA" w:rsidP="00B35C8A">
      <w:pPr>
        <w:autoSpaceDE w:val="0"/>
        <w:autoSpaceDN w:val="0"/>
        <w:adjustRightInd w:val="0"/>
        <w:spacing w:after="0" w:line="240" w:lineRule="auto"/>
        <w:rPr>
          <w:rFonts w:ascii="Arial" w:eastAsia="ArialMT" w:hAnsi="Arial" w:cs="Arial"/>
          <w:b/>
          <w:bCs/>
          <w:color w:val="000000"/>
        </w:rPr>
      </w:pPr>
    </w:p>
    <w:p w14:paraId="0F209955" w14:textId="46E8FD55" w:rsidR="00872EFA" w:rsidRPr="00872EFA" w:rsidRDefault="0070510B" w:rsidP="00872E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70510B">
        <w:rPr>
          <w:rFonts w:ascii="Arial" w:hAnsi="Arial" w:cs="Arial"/>
        </w:rPr>
        <w:t>Erection of 90 dwellings with associated landscaping, parking and improved access.</w:t>
      </w:r>
    </w:p>
    <w:p w14:paraId="4C91E9FE" w14:textId="77777777" w:rsidR="00EC058A" w:rsidRPr="00A51637" w:rsidRDefault="00EC058A"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068097ED" w14:textId="5F6B54C9" w:rsidR="008C6592" w:rsidRDefault="003362A9" w:rsidP="008C6592">
      <w:pPr>
        <w:rPr>
          <w:rFonts w:ascii="Arial" w:hAnsi="Arial" w:cs="Arial"/>
          <w:b/>
        </w:rPr>
      </w:pPr>
      <w:r>
        <w:rPr>
          <w:rFonts w:ascii="Arial" w:hAnsi="Arial" w:cs="Arial"/>
          <w:b/>
        </w:rPr>
        <w:t xml:space="preserve">Updated </w:t>
      </w:r>
      <w:r w:rsidR="008C6592" w:rsidRPr="00A51637">
        <w:rPr>
          <w:rFonts w:ascii="Arial" w:hAnsi="Arial" w:cs="Arial"/>
          <w:b/>
        </w:rPr>
        <w:t xml:space="preserve">Comments - HBC </w:t>
      </w:r>
      <w:r w:rsidR="008A4058">
        <w:rPr>
          <w:rFonts w:ascii="Arial" w:hAnsi="Arial" w:cs="Arial"/>
          <w:b/>
        </w:rPr>
        <w:t>Developer Contributions</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77777777" w:rsidR="005B56A3" w:rsidRPr="008F39B7" w:rsidRDefault="005B56A3" w:rsidP="005B56A3">
      <w:pPr>
        <w:autoSpaceDE w:val="0"/>
        <w:autoSpaceDN w:val="0"/>
        <w:adjustRightInd w:val="0"/>
        <w:spacing w:after="0" w:line="240" w:lineRule="auto"/>
        <w:rPr>
          <w:rFonts w:ascii="Arial" w:hAnsi="Arial" w:cs="Arial"/>
          <w:b/>
        </w:rPr>
      </w:pPr>
    </w:p>
    <w:p w14:paraId="6687CF67" w14:textId="77777777" w:rsidR="001E440A" w:rsidRDefault="001E440A" w:rsidP="001E440A">
      <w:pPr>
        <w:rPr>
          <w:rStyle w:val="Hyperlink"/>
          <w:rFonts w:ascii="Arial" w:hAnsi="Arial" w:cs="Arial"/>
          <w:color w:val="auto"/>
        </w:rPr>
      </w:pPr>
      <w:r>
        <w:rPr>
          <w:rFonts w:ascii="Arial" w:hAnsi="Arial" w:cs="Arial"/>
        </w:rPr>
        <w:t>The dwellings are</w:t>
      </w:r>
      <w:r>
        <w:rPr>
          <w:rFonts w:ascii="Arial" w:hAnsi="Arial" w:cs="Arial"/>
          <w:b/>
        </w:rPr>
        <w:t xml:space="preserve"> </w:t>
      </w:r>
      <w:r>
        <w:rPr>
          <w:rFonts w:ascii="Arial" w:hAnsi="Arial" w:cs="Arial"/>
        </w:rPr>
        <w:t xml:space="preserve">CIL Liable, in accordance with our CIL Charging Schedule: </w:t>
      </w:r>
      <w:hyperlink r:id="rId7" w:history="1">
        <w:r>
          <w:rPr>
            <w:rStyle w:val="Hyperlink"/>
            <w:rFonts w:ascii="Arial" w:hAnsi="Arial" w:cs="Arial"/>
            <w:color w:val="auto"/>
          </w:rPr>
          <w:t>http://www.havant.gov.uk/sites/default/files/documents/HBC%20CIL%20Charging%20Schedule%20Full%20Document%20Feb%202013.pdf</w:t>
        </w:r>
      </w:hyperlink>
    </w:p>
    <w:p w14:paraId="032C863A" w14:textId="5B7FCFE3" w:rsidR="001E440A" w:rsidRDefault="001E440A" w:rsidP="001E440A">
      <w:pPr>
        <w:spacing w:line="240" w:lineRule="auto"/>
        <w:rPr>
          <w:rFonts w:ascii="Arial" w:hAnsi="Arial" w:cs="Arial"/>
        </w:rPr>
      </w:pPr>
      <w:r w:rsidRPr="00CA54E0">
        <w:rPr>
          <w:rFonts w:ascii="Arial" w:hAnsi="Arial" w:cs="Arial"/>
        </w:rPr>
        <w:t xml:space="preserve">The amounts in the Charging Schedule are indexed according to the year in which </w:t>
      </w:r>
      <w:r w:rsidRPr="00AF1879">
        <w:rPr>
          <w:rFonts w:ascii="Arial" w:hAnsi="Arial" w:cs="Arial"/>
        </w:rPr>
        <w:t>permission is issued, if a permission is issued in 202</w:t>
      </w:r>
      <w:r w:rsidR="00AE78B8" w:rsidRPr="00AF1879">
        <w:rPr>
          <w:rFonts w:ascii="Arial" w:hAnsi="Arial" w:cs="Arial"/>
        </w:rPr>
        <w:t xml:space="preserve">5 </w:t>
      </w:r>
      <w:r w:rsidRPr="00AF1879">
        <w:rPr>
          <w:rFonts w:ascii="Arial" w:hAnsi="Arial" w:cs="Arial"/>
        </w:rPr>
        <w:t xml:space="preserve">the amount of indexation would be </w:t>
      </w:r>
      <w:r w:rsidR="00AF1879" w:rsidRPr="00AF1879">
        <w:rPr>
          <w:rFonts w:ascii="Arial" w:hAnsi="Arial" w:cs="Arial"/>
        </w:rPr>
        <w:t>74.553%</w:t>
      </w:r>
      <w:r w:rsidR="00AF1879">
        <w:rPr>
          <w:rFonts w:ascii="Arial" w:hAnsi="Arial" w:cs="Arial"/>
        </w:rPr>
        <w:t>.</w:t>
      </w:r>
    </w:p>
    <w:p w14:paraId="26944938" w14:textId="0554D454" w:rsidR="00AF57BE" w:rsidRDefault="00AF57BE" w:rsidP="00FC370C">
      <w:pPr>
        <w:rPr>
          <w:rStyle w:val="Hyperlink"/>
          <w:rFonts w:ascii="Arial" w:hAnsi="Arial" w:cs="Arial"/>
          <w:b/>
          <w:color w:val="auto"/>
        </w:rPr>
      </w:pPr>
      <w:r w:rsidRPr="00AF57BE">
        <w:rPr>
          <w:rStyle w:val="Hyperlink"/>
          <w:rFonts w:ascii="Arial" w:hAnsi="Arial" w:cs="Arial"/>
          <w:b/>
          <w:color w:val="auto"/>
        </w:rPr>
        <w:t>S106</w:t>
      </w:r>
    </w:p>
    <w:p w14:paraId="0DE4E2A4" w14:textId="378CB4EC" w:rsidR="005B56A3" w:rsidRPr="00B81B00" w:rsidRDefault="00EC058A" w:rsidP="003C6C6F">
      <w:pPr>
        <w:rPr>
          <w:rFonts w:ascii="Arial" w:hAnsi="Arial" w:cs="Arial"/>
          <w:b/>
        </w:rPr>
      </w:pPr>
      <w:r>
        <w:rPr>
          <w:rFonts w:ascii="Arial" w:hAnsi="Arial" w:cs="Arial"/>
          <w:bCs/>
        </w:rPr>
        <w:t>S</w:t>
      </w:r>
      <w:r w:rsidR="005B56A3" w:rsidRPr="00AE37F0">
        <w:rPr>
          <w:rFonts w:ascii="Arial" w:hAnsi="Arial" w:cs="Arial"/>
        </w:rPr>
        <w:t>ubject to statutory consultee responses we would expect the S106 to include (amongst any other site</w:t>
      </w:r>
      <w:r w:rsidR="00A328B9">
        <w:rPr>
          <w:rFonts w:ascii="Arial" w:hAnsi="Arial" w:cs="Arial"/>
        </w:rPr>
        <w:t>-</w:t>
      </w:r>
      <w:r w:rsidR="005B56A3" w:rsidRPr="00AE37F0">
        <w:rPr>
          <w:rFonts w:ascii="Arial" w:hAnsi="Arial" w:cs="Arial"/>
        </w:rPr>
        <w:t>specific obligations necessary):</w:t>
      </w:r>
    </w:p>
    <w:p w14:paraId="20D76ED8" w14:textId="77777777" w:rsidR="005B56A3" w:rsidRPr="00B81B00" w:rsidRDefault="005B56A3" w:rsidP="005B56A3">
      <w:pPr>
        <w:pStyle w:val="ListParagraph"/>
        <w:numPr>
          <w:ilvl w:val="0"/>
          <w:numId w:val="1"/>
        </w:numPr>
        <w:rPr>
          <w:rFonts w:ascii="Arial" w:hAnsi="Arial" w:cs="Arial"/>
        </w:rPr>
      </w:pPr>
      <w:r w:rsidRPr="00B81B00">
        <w:rPr>
          <w:rFonts w:ascii="Arial" w:hAnsi="Arial" w:cs="Arial"/>
        </w:rPr>
        <w:t xml:space="preserve">Affordable Housing </w:t>
      </w:r>
    </w:p>
    <w:p w14:paraId="0D7A566B" w14:textId="77777777" w:rsidR="00A947CB" w:rsidRDefault="00A947CB" w:rsidP="00A947CB">
      <w:pPr>
        <w:pStyle w:val="ListParagraph"/>
        <w:numPr>
          <w:ilvl w:val="0"/>
          <w:numId w:val="1"/>
        </w:numPr>
        <w:rPr>
          <w:rFonts w:ascii="Arial" w:hAnsi="Arial" w:cs="Arial"/>
        </w:rPr>
      </w:pPr>
      <w:r>
        <w:rPr>
          <w:rFonts w:ascii="Arial" w:hAnsi="Arial" w:cs="Arial"/>
        </w:rPr>
        <w:t xml:space="preserve">HBC </w:t>
      </w:r>
      <w:r w:rsidRPr="00B5683D">
        <w:rPr>
          <w:rFonts w:ascii="Arial" w:hAnsi="Arial" w:cs="Arial"/>
        </w:rPr>
        <w:t>Monitoring Fees*</w:t>
      </w:r>
    </w:p>
    <w:p w14:paraId="2952080F" w14:textId="77777777" w:rsidR="00A947CB" w:rsidRDefault="00A947CB" w:rsidP="00A947CB">
      <w:pPr>
        <w:pStyle w:val="ListParagraph"/>
        <w:numPr>
          <w:ilvl w:val="0"/>
          <w:numId w:val="1"/>
        </w:numPr>
        <w:rPr>
          <w:rFonts w:ascii="Arial" w:hAnsi="Arial" w:cs="Arial"/>
        </w:rPr>
      </w:pPr>
      <w:r>
        <w:rPr>
          <w:rFonts w:ascii="Arial" w:hAnsi="Arial" w:cs="Arial"/>
        </w:rPr>
        <w:t>HCC Monitoring Fees</w:t>
      </w:r>
    </w:p>
    <w:p w14:paraId="0DDDCE9D" w14:textId="3C3D68FF" w:rsidR="0070510B" w:rsidRPr="0070510B" w:rsidRDefault="0070510B" w:rsidP="0070510B">
      <w:pPr>
        <w:pStyle w:val="ListParagraph"/>
        <w:numPr>
          <w:ilvl w:val="0"/>
          <w:numId w:val="1"/>
        </w:numPr>
        <w:rPr>
          <w:rFonts w:ascii="Arial" w:hAnsi="Arial" w:cs="Arial"/>
        </w:rPr>
      </w:pPr>
      <w:r w:rsidRPr="008E157D">
        <w:rPr>
          <w:rFonts w:ascii="Arial" w:hAnsi="Arial" w:cs="Arial"/>
        </w:rPr>
        <w:t xml:space="preserve">BNG </w:t>
      </w:r>
      <w:r>
        <w:rPr>
          <w:rFonts w:ascii="Arial" w:hAnsi="Arial" w:cs="Arial"/>
        </w:rPr>
        <w:t xml:space="preserve">On/Offsite Monitoring - </w:t>
      </w:r>
      <w:r w:rsidRPr="007B58FD">
        <w:rPr>
          <w:rFonts w:ascii="Arial" w:hAnsi="Arial" w:cs="Arial"/>
        </w:rPr>
        <w:t xml:space="preserve">Mitigation provided as part of BNG will require monitoring and occasionally enforcement over a period of 30 years and appropriate charges to cover the council’s costs </w:t>
      </w:r>
      <w:r>
        <w:rPr>
          <w:rFonts w:ascii="Arial" w:hAnsi="Arial" w:cs="Arial"/>
        </w:rPr>
        <w:t>are</w:t>
      </w:r>
      <w:r w:rsidRPr="007B58FD">
        <w:rPr>
          <w:rFonts w:ascii="Arial" w:hAnsi="Arial" w:cs="Arial"/>
        </w:rPr>
        <w:t xml:space="preserve"> sought. The charge is based on the size of </w:t>
      </w:r>
      <w:r w:rsidRPr="00327303">
        <w:rPr>
          <w:rFonts w:ascii="Arial" w:hAnsi="Arial" w:cs="Arial"/>
        </w:rPr>
        <w:t xml:space="preserve">the scheme and the highest difficulty of habitat creation. This fee </w:t>
      </w:r>
      <w:r w:rsidR="005E2B8A">
        <w:rPr>
          <w:rFonts w:ascii="Arial" w:hAnsi="Arial" w:cs="Arial"/>
        </w:rPr>
        <w:t xml:space="preserve">for this site will be £4,011 </w:t>
      </w:r>
      <w:r w:rsidRPr="00327303">
        <w:rPr>
          <w:rFonts w:ascii="Arial" w:hAnsi="Arial" w:cs="Arial"/>
        </w:rPr>
        <w:t xml:space="preserve">and will be indexed at 1/4/26. </w:t>
      </w:r>
    </w:p>
    <w:p w14:paraId="4398B62F" w14:textId="18A2CE4F" w:rsidR="005B56A3" w:rsidRPr="008D0653" w:rsidRDefault="005B56A3">
      <w:pPr>
        <w:pStyle w:val="ListParagraph"/>
        <w:numPr>
          <w:ilvl w:val="0"/>
          <w:numId w:val="1"/>
        </w:numPr>
        <w:rPr>
          <w:rFonts w:ascii="Arial" w:hAnsi="Arial" w:cs="Arial"/>
        </w:rPr>
      </w:pPr>
      <w:r w:rsidRPr="008D0653">
        <w:rPr>
          <w:rFonts w:ascii="Arial" w:hAnsi="Arial" w:cs="Arial"/>
        </w:rPr>
        <w:t>Management Company</w:t>
      </w:r>
      <w:r w:rsidR="008D0653" w:rsidRPr="008D0653">
        <w:rPr>
          <w:rFonts w:ascii="Arial" w:hAnsi="Arial" w:cs="Arial"/>
        </w:rPr>
        <w:t xml:space="preserve"> and </w:t>
      </w:r>
      <w:r w:rsidRPr="008D0653">
        <w:rPr>
          <w:rFonts w:ascii="Arial" w:hAnsi="Arial" w:cs="Arial"/>
        </w:rPr>
        <w:t>Management Plan</w:t>
      </w:r>
      <w:r w:rsidR="004829B0" w:rsidRPr="008D0653">
        <w:rPr>
          <w:rFonts w:ascii="Arial" w:hAnsi="Arial" w:cs="Arial"/>
        </w:rPr>
        <w:t xml:space="preserve"> (may include SUDS)</w:t>
      </w:r>
    </w:p>
    <w:p w14:paraId="5491F906" w14:textId="371BA151" w:rsidR="005B56A3" w:rsidRDefault="005B56A3" w:rsidP="005B56A3">
      <w:pPr>
        <w:pStyle w:val="ListParagraph"/>
        <w:numPr>
          <w:ilvl w:val="0"/>
          <w:numId w:val="1"/>
        </w:numPr>
        <w:rPr>
          <w:rFonts w:ascii="Arial" w:hAnsi="Arial" w:cs="Arial"/>
        </w:rPr>
      </w:pPr>
      <w:r w:rsidRPr="00DE38F1">
        <w:rPr>
          <w:rFonts w:ascii="Arial" w:hAnsi="Arial" w:cs="Arial"/>
        </w:rPr>
        <w:t xml:space="preserve">Solent Recreation Mitigation Strategy (see further </w:t>
      </w:r>
      <w:proofErr w:type="gramStart"/>
      <w:r w:rsidRPr="00DE38F1">
        <w:rPr>
          <w:rFonts w:ascii="Arial" w:hAnsi="Arial" w:cs="Arial"/>
        </w:rPr>
        <w:t>information</w:t>
      </w:r>
      <w:r>
        <w:rPr>
          <w:rFonts w:ascii="Arial" w:hAnsi="Arial" w:cs="Arial"/>
        </w:rPr>
        <w:t>)*</w:t>
      </w:r>
      <w:proofErr w:type="gramEnd"/>
      <w:r>
        <w:rPr>
          <w:rFonts w:ascii="Arial" w:hAnsi="Arial" w:cs="Arial"/>
        </w:rPr>
        <w:t>*</w:t>
      </w:r>
      <w:r w:rsidRPr="00DE38F1">
        <w:rPr>
          <w:rFonts w:ascii="Arial" w:hAnsi="Arial" w:cs="Arial"/>
        </w:rPr>
        <w:t xml:space="preserve"> </w:t>
      </w:r>
    </w:p>
    <w:p w14:paraId="3A087086" w14:textId="465D4C8B" w:rsidR="00A328B9" w:rsidRPr="00E27427" w:rsidRDefault="00A328B9" w:rsidP="005B56A3">
      <w:pPr>
        <w:pStyle w:val="ListParagraph"/>
        <w:numPr>
          <w:ilvl w:val="0"/>
          <w:numId w:val="1"/>
        </w:numPr>
        <w:rPr>
          <w:rFonts w:ascii="Arial" w:hAnsi="Arial" w:cs="Arial"/>
        </w:rPr>
      </w:pPr>
      <w:r>
        <w:rPr>
          <w:rFonts w:ascii="Arial" w:hAnsi="Arial" w:cs="Arial"/>
        </w:rPr>
        <w:t>Nutrient</w:t>
      </w:r>
      <w:r w:rsidR="00B01433">
        <w:rPr>
          <w:rFonts w:ascii="Arial" w:hAnsi="Arial" w:cs="Arial"/>
        </w:rPr>
        <w:t xml:space="preserve"> </w:t>
      </w:r>
      <w:r w:rsidR="00B01433" w:rsidRPr="00203F2A">
        <w:rPr>
          <w:rFonts w:ascii="Arial" w:hAnsi="Arial" w:cs="Arial"/>
        </w:rPr>
        <w:t>Neutrality</w:t>
      </w:r>
      <w:r w:rsidR="00E27427">
        <w:rPr>
          <w:rFonts w:ascii="Arial" w:hAnsi="Arial" w:cs="Arial"/>
        </w:rPr>
        <w:t>***</w:t>
      </w:r>
      <w:r w:rsidR="001F63C6">
        <w:rPr>
          <w:rFonts w:ascii="Arial" w:hAnsi="Arial" w:cs="Arial"/>
        </w:rPr>
        <w:t xml:space="preserve"> </w:t>
      </w:r>
      <w:r w:rsidR="00285AFB">
        <w:rPr>
          <w:rFonts w:ascii="Arial" w:hAnsi="Arial" w:cs="Arial"/>
        </w:rPr>
        <w:t xml:space="preserve">- </w:t>
      </w:r>
      <w:r w:rsidR="005E2B8A">
        <w:rPr>
          <w:rFonts w:ascii="Arial" w:hAnsi="Arial" w:cs="Arial"/>
        </w:rPr>
        <w:t xml:space="preserve">if </w:t>
      </w:r>
      <w:r w:rsidR="00D70FEF">
        <w:rPr>
          <w:rFonts w:ascii="Arial" w:hAnsi="Arial" w:cs="Arial"/>
        </w:rPr>
        <w:t xml:space="preserve">the applicant is seeking to purchase mitigation from Whitewool Farm. This will require ongoing monitoring. There is a separate charge </w:t>
      </w:r>
      <w:r w:rsidR="00D929E0">
        <w:rPr>
          <w:rFonts w:ascii="Arial" w:hAnsi="Arial" w:cs="Arial"/>
        </w:rPr>
        <w:t>to monitor third party agreements (see bottom of page).</w:t>
      </w:r>
      <w:r w:rsidR="00D70FEF">
        <w:rPr>
          <w:rFonts w:ascii="Arial" w:hAnsi="Arial" w:cs="Arial"/>
        </w:rPr>
        <w:t xml:space="preserve"> </w:t>
      </w:r>
      <w:r w:rsidR="00D70FEF" w:rsidRPr="00E27427">
        <w:rPr>
          <w:rFonts w:ascii="Arial" w:hAnsi="Arial" w:cs="Arial"/>
        </w:rPr>
        <w:t xml:space="preserve"> </w:t>
      </w:r>
    </w:p>
    <w:p w14:paraId="5335701A" w14:textId="77777777" w:rsidR="00446494" w:rsidRPr="00E27427" w:rsidRDefault="00446494" w:rsidP="00446494">
      <w:pPr>
        <w:pStyle w:val="ListParagraph"/>
        <w:numPr>
          <w:ilvl w:val="0"/>
          <w:numId w:val="1"/>
        </w:numPr>
        <w:rPr>
          <w:rFonts w:ascii="Arial" w:hAnsi="Arial" w:cs="Arial"/>
        </w:rPr>
      </w:pPr>
      <w:r w:rsidRPr="00E27427">
        <w:rPr>
          <w:rFonts w:ascii="Arial" w:hAnsi="Arial" w:cs="Arial"/>
        </w:rPr>
        <w:t>SUDS/SUDS Bond (Bond not necessary if Southern Water have agreed to adopt SUDS once installed)</w:t>
      </w:r>
    </w:p>
    <w:p w14:paraId="57542C54" w14:textId="0837AB53" w:rsidR="00446494" w:rsidRPr="00E27427" w:rsidRDefault="00446494" w:rsidP="005B56A3">
      <w:pPr>
        <w:pStyle w:val="ListParagraph"/>
        <w:numPr>
          <w:ilvl w:val="0"/>
          <w:numId w:val="1"/>
        </w:numPr>
        <w:rPr>
          <w:rFonts w:ascii="Arial" w:hAnsi="Arial" w:cs="Arial"/>
        </w:rPr>
      </w:pPr>
      <w:r w:rsidRPr="00E27427">
        <w:rPr>
          <w:rFonts w:ascii="Arial" w:hAnsi="Arial" w:cs="Arial"/>
        </w:rPr>
        <w:t>Community Worker</w:t>
      </w:r>
      <w:r w:rsidR="00EC058A" w:rsidRPr="00E27427">
        <w:rPr>
          <w:rFonts w:ascii="Arial" w:hAnsi="Arial" w:cs="Arial"/>
        </w:rPr>
        <w:t xml:space="preserve"> </w:t>
      </w:r>
      <w:r w:rsidR="00BF0640" w:rsidRPr="00E27427">
        <w:rPr>
          <w:rFonts w:ascii="Arial" w:hAnsi="Arial" w:cs="Arial"/>
        </w:rPr>
        <w:t>– payment due on commencement</w:t>
      </w:r>
    </w:p>
    <w:p w14:paraId="7DB5D847" w14:textId="4FDADCFF" w:rsidR="00726663" w:rsidRDefault="004B4167" w:rsidP="005B56A3">
      <w:pPr>
        <w:pStyle w:val="ListParagraph"/>
        <w:numPr>
          <w:ilvl w:val="0"/>
          <w:numId w:val="1"/>
        </w:numPr>
        <w:rPr>
          <w:rFonts w:ascii="Arial" w:hAnsi="Arial" w:cs="Arial"/>
        </w:rPr>
      </w:pPr>
      <w:r w:rsidRPr="00E27427">
        <w:rPr>
          <w:rFonts w:ascii="Arial" w:hAnsi="Arial" w:cs="Arial"/>
        </w:rPr>
        <w:t>Potential o</w:t>
      </w:r>
      <w:r w:rsidR="00726663" w:rsidRPr="00E27427">
        <w:rPr>
          <w:rFonts w:ascii="Arial" w:hAnsi="Arial" w:cs="Arial"/>
        </w:rPr>
        <w:t>n site Ecological Mitigation</w:t>
      </w:r>
    </w:p>
    <w:p w14:paraId="0C3AD83B" w14:textId="00722A77" w:rsidR="002E5550" w:rsidRDefault="002E5550" w:rsidP="005B56A3">
      <w:pPr>
        <w:pStyle w:val="ListParagraph"/>
        <w:numPr>
          <w:ilvl w:val="0"/>
          <w:numId w:val="1"/>
        </w:numPr>
        <w:rPr>
          <w:rFonts w:ascii="Arial" w:hAnsi="Arial" w:cs="Arial"/>
        </w:rPr>
      </w:pPr>
      <w:r>
        <w:rPr>
          <w:rFonts w:ascii="Arial" w:hAnsi="Arial" w:cs="Arial"/>
        </w:rPr>
        <w:t>Employment and Skills Plan</w:t>
      </w:r>
    </w:p>
    <w:p w14:paraId="7A70FD11" w14:textId="5CAF346D" w:rsidR="00CF072B" w:rsidRPr="00E27427" w:rsidRDefault="005B56A3" w:rsidP="00711938">
      <w:pPr>
        <w:pStyle w:val="ListParagraph"/>
        <w:numPr>
          <w:ilvl w:val="0"/>
          <w:numId w:val="1"/>
        </w:numPr>
        <w:rPr>
          <w:rFonts w:ascii="Arial" w:hAnsi="Arial" w:cs="Arial"/>
        </w:rPr>
      </w:pPr>
      <w:r w:rsidRPr="00E27427">
        <w:rPr>
          <w:rFonts w:ascii="Arial" w:hAnsi="Arial" w:cs="Arial"/>
        </w:rPr>
        <w:t>Education (HCC)</w:t>
      </w:r>
    </w:p>
    <w:p w14:paraId="4208A8FA" w14:textId="3D38C6F4" w:rsidR="005B56A3" w:rsidRPr="00E27427" w:rsidRDefault="005B56A3" w:rsidP="005B56A3">
      <w:pPr>
        <w:pStyle w:val="ListParagraph"/>
        <w:numPr>
          <w:ilvl w:val="0"/>
          <w:numId w:val="1"/>
        </w:numPr>
        <w:rPr>
          <w:rFonts w:ascii="Arial" w:hAnsi="Arial" w:cs="Arial"/>
        </w:rPr>
      </w:pPr>
      <w:r w:rsidRPr="00E27427">
        <w:rPr>
          <w:rFonts w:ascii="Arial" w:hAnsi="Arial" w:cs="Arial"/>
        </w:rPr>
        <w:t>Site Specific Transport Improvements (HCC)</w:t>
      </w:r>
    </w:p>
    <w:p w14:paraId="46354A18" w14:textId="5AB62D45" w:rsidR="00CF072B" w:rsidRPr="00E27427" w:rsidRDefault="00CF072B" w:rsidP="005B56A3">
      <w:pPr>
        <w:pStyle w:val="ListParagraph"/>
        <w:numPr>
          <w:ilvl w:val="0"/>
          <w:numId w:val="1"/>
        </w:numPr>
        <w:rPr>
          <w:rFonts w:ascii="Arial" w:hAnsi="Arial" w:cs="Arial"/>
        </w:rPr>
      </w:pPr>
      <w:r w:rsidRPr="00E27427">
        <w:rPr>
          <w:rFonts w:ascii="Arial" w:hAnsi="Arial" w:cs="Arial"/>
        </w:rPr>
        <w:t>Highway Works (HCC)</w:t>
      </w:r>
    </w:p>
    <w:p w14:paraId="614749BF" w14:textId="74FC0950" w:rsidR="005B56A3" w:rsidRPr="00E27427" w:rsidRDefault="005B56A3" w:rsidP="005B56A3">
      <w:pPr>
        <w:pStyle w:val="ListParagraph"/>
        <w:numPr>
          <w:ilvl w:val="0"/>
          <w:numId w:val="1"/>
        </w:numPr>
        <w:rPr>
          <w:rFonts w:ascii="Arial" w:hAnsi="Arial" w:cs="Arial"/>
        </w:rPr>
      </w:pPr>
      <w:r w:rsidRPr="00E27427">
        <w:rPr>
          <w:rFonts w:ascii="Arial" w:hAnsi="Arial" w:cs="Arial"/>
        </w:rPr>
        <w:t>Others</w:t>
      </w:r>
      <w:r w:rsidR="002E39E5" w:rsidRPr="00E27427">
        <w:rPr>
          <w:rFonts w:ascii="Arial" w:hAnsi="Arial" w:cs="Arial"/>
        </w:rPr>
        <w:t xml:space="preserve"> arising out of consultee responses</w:t>
      </w:r>
    </w:p>
    <w:p w14:paraId="1F54133E" w14:textId="77777777" w:rsidR="000E51C0" w:rsidRPr="00E27427" w:rsidRDefault="000E51C0" w:rsidP="000E51C0">
      <w:pPr>
        <w:autoSpaceDE w:val="0"/>
        <w:autoSpaceDN w:val="0"/>
        <w:adjustRightInd w:val="0"/>
        <w:spacing w:after="0" w:line="240" w:lineRule="auto"/>
        <w:rPr>
          <w:rFonts w:ascii="Arial" w:hAnsi="Arial" w:cs="Arial"/>
          <w:b/>
        </w:rPr>
      </w:pPr>
    </w:p>
    <w:p w14:paraId="0B97E62D" w14:textId="77777777" w:rsidR="000E51C0" w:rsidRPr="00E27427" w:rsidRDefault="000E51C0" w:rsidP="000E51C0">
      <w:pPr>
        <w:rPr>
          <w:rStyle w:val="Hyperlink"/>
          <w:rFonts w:ascii="Arial" w:hAnsi="Arial" w:cs="Arial"/>
          <w:b/>
          <w:color w:val="auto"/>
        </w:rPr>
      </w:pPr>
      <w:r w:rsidRPr="00E27427">
        <w:rPr>
          <w:rStyle w:val="Hyperlink"/>
          <w:rFonts w:ascii="Arial" w:hAnsi="Arial" w:cs="Arial"/>
          <w:b/>
          <w:color w:val="auto"/>
        </w:rPr>
        <w:t>SEE THE HBC DEVELOPER CONTRIBUTIONS GUIDE FOR ADDITIONAL INFORMATION:</w:t>
      </w:r>
    </w:p>
    <w:p w14:paraId="5D6603F1" w14:textId="4BF7C9F1" w:rsidR="000E51C0" w:rsidRPr="00E27427" w:rsidRDefault="000E51C0" w:rsidP="000E51C0">
      <w:pPr>
        <w:autoSpaceDE w:val="0"/>
        <w:autoSpaceDN w:val="0"/>
        <w:adjustRightInd w:val="0"/>
        <w:spacing w:after="0" w:line="240" w:lineRule="auto"/>
        <w:rPr>
          <w:rStyle w:val="Hyperlink"/>
          <w:rFonts w:ascii="Arial" w:hAnsi="Arial" w:cs="Arial"/>
          <w:color w:val="auto"/>
        </w:rPr>
      </w:pPr>
      <w:r w:rsidRPr="00E27427">
        <w:rPr>
          <w:rFonts w:ascii="Arial" w:hAnsi="Arial" w:cs="Arial"/>
        </w:rPr>
        <w:t xml:space="preserve">Latest version accessible from: </w:t>
      </w:r>
      <w:hyperlink r:id="rId8" w:history="1">
        <w:r w:rsidRPr="00E27427">
          <w:rPr>
            <w:rStyle w:val="Hyperlink"/>
            <w:rFonts w:ascii="Arial" w:hAnsi="Arial" w:cs="Arial"/>
            <w:color w:val="auto"/>
          </w:rPr>
          <w:t>https://www.havant.gov.uk/community-infrastructure-levy</w:t>
        </w:r>
      </w:hyperlink>
    </w:p>
    <w:p w14:paraId="7C0AF21F" w14:textId="4AF78BB8" w:rsidR="00BA69B3" w:rsidRPr="00E27427" w:rsidRDefault="00BA69B3" w:rsidP="000E51C0">
      <w:pPr>
        <w:autoSpaceDE w:val="0"/>
        <w:autoSpaceDN w:val="0"/>
        <w:adjustRightInd w:val="0"/>
        <w:spacing w:after="0" w:line="240" w:lineRule="auto"/>
        <w:rPr>
          <w:rStyle w:val="Hyperlink"/>
          <w:rFonts w:ascii="Arial" w:hAnsi="Arial" w:cs="Arial"/>
          <w:color w:val="auto"/>
        </w:rPr>
      </w:pPr>
    </w:p>
    <w:p w14:paraId="4A2A3DA5" w14:textId="77F04589" w:rsidR="00BA69B3" w:rsidRDefault="00BA69B3" w:rsidP="00BA69B3">
      <w:pPr>
        <w:autoSpaceDE w:val="0"/>
        <w:autoSpaceDN w:val="0"/>
        <w:adjustRightInd w:val="0"/>
        <w:spacing w:after="0" w:line="240" w:lineRule="auto"/>
        <w:rPr>
          <w:rFonts w:ascii="Arial" w:hAnsi="Arial" w:cs="Arial"/>
        </w:rPr>
      </w:pPr>
      <w:r w:rsidRPr="00E27427">
        <w:rPr>
          <w:rFonts w:ascii="Arial" w:hAnsi="Arial" w:cs="Arial"/>
          <w:b/>
        </w:rPr>
        <w:lastRenderedPageBreak/>
        <w:t xml:space="preserve">*HBC Monitoring Fees:  </w:t>
      </w:r>
      <w:r w:rsidRPr="00E27427">
        <w:rPr>
          <w:rFonts w:ascii="Arial" w:hAnsi="Arial" w:cs="Arial"/>
        </w:rPr>
        <w:t>As part of the ‘Heads of Terms’ it is necessary to include monitoring fees.</w:t>
      </w:r>
      <w:r w:rsidRPr="00E27427">
        <w:rPr>
          <w:rFonts w:ascii="Arial" w:hAnsi="Arial" w:cs="Arial"/>
          <w:b/>
        </w:rPr>
        <w:t xml:space="preserve"> </w:t>
      </w:r>
      <w:r w:rsidRPr="00E27427">
        <w:rPr>
          <w:rFonts w:ascii="Arial" w:hAnsi="Arial" w:cs="Arial"/>
        </w:rPr>
        <w:t>The amended CIL Regulations effective 1/9/19 regularise the collection of S106 monitoring fees</w:t>
      </w:r>
      <w:proofErr w:type="gramStart"/>
      <w:r w:rsidRPr="00E27427">
        <w:rPr>
          <w:rFonts w:ascii="Arial" w:hAnsi="Arial" w:cs="Arial"/>
        </w:rPr>
        <w:t>. </w:t>
      </w:r>
      <w:r w:rsidR="00D929E0" w:rsidRPr="00D929E0">
        <w:rPr>
          <w:rFonts w:ascii="Arial" w:hAnsi="Arial" w:cs="Arial"/>
        </w:rPr>
        <w:t>.</w:t>
      </w:r>
      <w:proofErr w:type="gramEnd"/>
      <w:r w:rsidR="00D929E0" w:rsidRPr="00D929E0">
        <w:rPr>
          <w:rFonts w:ascii="Arial" w:hAnsi="Arial" w:cs="Arial"/>
        </w:rPr>
        <w:t xml:space="preserve"> Havant Borough Council </w:t>
      </w:r>
      <w:r w:rsidR="00D929E0">
        <w:rPr>
          <w:rFonts w:ascii="Arial" w:hAnsi="Arial" w:cs="Arial"/>
        </w:rPr>
        <w:t xml:space="preserve">also </w:t>
      </w:r>
      <w:r w:rsidR="00D929E0" w:rsidRPr="00D929E0">
        <w:rPr>
          <w:rFonts w:ascii="Arial" w:hAnsi="Arial" w:cs="Arial"/>
        </w:rPr>
        <w:t>monitors and discharges all Hampshire County Council Covenants on behalf of the County and the charges below also apply for each Hampshire County Council Head of Term.</w:t>
      </w:r>
      <w:r w:rsidR="00D929E0">
        <w:rPr>
          <w:rFonts w:ascii="Arial" w:hAnsi="Arial" w:cs="Arial"/>
        </w:rPr>
        <w:t xml:space="preserve"> </w:t>
      </w:r>
      <w:r w:rsidRPr="00E27427">
        <w:rPr>
          <w:rFonts w:ascii="Arial" w:hAnsi="Arial" w:cs="Arial"/>
        </w:rPr>
        <w:t>We have an agreed schedule of charge</w:t>
      </w:r>
      <w:r w:rsidR="006F2FAD" w:rsidRPr="00E27427">
        <w:rPr>
          <w:rFonts w:ascii="Arial" w:hAnsi="Arial" w:cs="Arial"/>
        </w:rPr>
        <w:t>s</w:t>
      </w:r>
      <w:r w:rsidRPr="00E27427">
        <w:rPr>
          <w:rFonts w:ascii="Arial" w:hAnsi="Arial" w:cs="Arial"/>
        </w:rPr>
        <w:t xml:space="preserve">: </w:t>
      </w:r>
    </w:p>
    <w:p w14:paraId="4DECA356" w14:textId="77777777" w:rsidR="00D929E0" w:rsidRDefault="00D929E0" w:rsidP="00BA69B3">
      <w:pPr>
        <w:autoSpaceDE w:val="0"/>
        <w:autoSpaceDN w:val="0"/>
        <w:adjustRightInd w:val="0"/>
        <w:spacing w:after="0" w:line="240" w:lineRule="auto"/>
        <w:rPr>
          <w:rFonts w:ascii="Arial" w:hAnsi="Arial" w:cs="Arial"/>
        </w:rPr>
      </w:pPr>
    </w:p>
    <w:p w14:paraId="3BE748DE" w14:textId="5CF12550" w:rsidR="00D929E0" w:rsidRPr="00D929E0" w:rsidRDefault="00D929E0" w:rsidP="00D929E0">
      <w:pPr>
        <w:autoSpaceDE w:val="0"/>
        <w:autoSpaceDN w:val="0"/>
        <w:adjustRightInd w:val="0"/>
        <w:spacing w:after="0" w:line="240" w:lineRule="auto"/>
        <w:rPr>
          <w:rFonts w:ascii="Arial" w:hAnsi="Arial" w:cs="Arial"/>
          <w:b/>
          <w:bCs/>
        </w:rPr>
      </w:pPr>
      <w:r w:rsidRPr="00D929E0">
        <w:rPr>
          <w:rFonts w:ascii="Arial" w:hAnsi="Arial" w:cs="Arial"/>
          <w:b/>
          <w:bCs/>
        </w:rPr>
        <w:t xml:space="preserve">From 1 April 2025 </w:t>
      </w:r>
    </w:p>
    <w:p w14:paraId="32E33062" w14:textId="77777777" w:rsidR="00D929E0" w:rsidRPr="00D929E0" w:rsidRDefault="00D929E0" w:rsidP="00D929E0">
      <w:pPr>
        <w:numPr>
          <w:ilvl w:val="0"/>
          <w:numId w:val="6"/>
        </w:numPr>
        <w:autoSpaceDE w:val="0"/>
        <w:autoSpaceDN w:val="0"/>
        <w:adjustRightInd w:val="0"/>
        <w:spacing w:after="0" w:line="240" w:lineRule="auto"/>
        <w:rPr>
          <w:rFonts w:ascii="Arial" w:hAnsi="Arial" w:cs="Arial"/>
        </w:rPr>
      </w:pPr>
      <w:r w:rsidRPr="00D929E0">
        <w:rPr>
          <w:rFonts w:ascii="Arial" w:hAnsi="Arial" w:cs="Arial"/>
        </w:rPr>
        <w:t>£973 per non-financial head of term (outside the scope of VAT)</w:t>
      </w:r>
    </w:p>
    <w:p w14:paraId="50C4013C" w14:textId="77777777" w:rsidR="00D929E0" w:rsidRPr="00D929E0" w:rsidRDefault="00D929E0" w:rsidP="00D929E0">
      <w:pPr>
        <w:numPr>
          <w:ilvl w:val="0"/>
          <w:numId w:val="6"/>
        </w:numPr>
        <w:autoSpaceDE w:val="0"/>
        <w:autoSpaceDN w:val="0"/>
        <w:adjustRightInd w:val="0"/>
        <w:spacing w:after="0" w:line="240" w:lineRule="auto"/>
        <w:rPr>
          <w:rFonts w:ascii="Arial" w:hAnsi="Arial" w:cs="Arial"/>
        </w:rPr>
      </w:pPr>
      <w:r w:rsidRPr="00D929E0">
        <w:rPr>
          <w:rFonts w:ascii="Arial" w:hAnsi="Arial" w:cs="Arial"/>
        </w:rPr>
        <w:t>5% of cost per Havant Borough Council financial head of term (outside the scope of VAT)</w:t>
      </w:r>
    </w:p>
    <w:p w14:paraId="565C6611" w14:textId="77777777" w:rsidR="00B547F9" w:rsidRPr="00E27427" w:rsidRDefault="00B547F9" w:rsidP="00B547F9">
      <w:pPr>
        <w:shd w:val="clear" w:color="auto" w:fill="FFFFFF"/>
        <w:spacing w:after="0" w:line="240" w:lineRule="auto"/>
        <w:ind w:left="720"/>
        <w:rPr>
          <w:rFonts w:ascii="Arial" w:eastAsia="Times New Roman" w:hAnsi="Arial" w:cs="Arial"/>
          <w:lang w:eastAsia="en-GB"/>
        </w:rPr>
      </w:pPr>
    </w:p>
    <w:p w14:paraId="5C35A5FF" w14:textId="3A0CE6F4" w:rsidR="00B547F9" w:rsidRPr="00E27427" w:rsidRDefault="00B547F9" w:rsidP="00B547F9">
      <w:pPr>
        <w:shd w:val="clear" w:color="auto" w:fill="FFFFFF"/>
        <w:spacing w:after="0" w:line="240" w:lineRule="auto"/>
        <w:rPr>
          <w:rFonts w:ascii="Arial" w:eastAsia="Times New Roman" w:hAnsi="Arial" w:cs="Arial"/>
          <w:lang w:eastAsia="en-GB"/>
        </w:rPr>
      </w:pPr>
      <w:r w:rsidRPr="00E27427">
        <w:rPr>
          <w:rFonts w:ascii="Arial" w:eastAsia="Times New Roman" w:hAnsi="Arial" w:cs="Arial"/>
          <w:lang w:eastAsia="en-GB"/>
        </w:rPr>
        <w:t>This contribution is indexed in accordance with the CPI.</w:t>
      </w:r>
    </w:p>
    <w:p w14:paraId="36E947B3" w14:textId="2E707060" w:rsidR="00CF072B" w:rsidRPr="00E27427" w:rsidRDefault="00CF072B" w:rsidP="00B547F9">
      <w:pPr>
        <w:shd w:val="clear" w:color="auto" w:fill="FFFFFF"/>
        <w:spacing w:after="0" w:line="240" w:lineRule="auto"/>
        <w:ind w:left="360"/>
        <w:rPr>
          <w:rFonts w:ascii="Arial" w:eastAsia="Times New Roman" w:hAnsi="Arial" w:cs="Arial"/>
          <w:lang w:eastAsia="en-GB"/>
        </w:rPr>
      </w:pPr>
    </w:p>
    <w:p w14:paraId="23465004" w14:textId="77777777" w:rsidR="00BA69B3" w:rsidRPr="00E27427" w:rsidRDefault="00BA69B3" w:rsidP="00BA69B3">
      <w:pPr>
        <w:rPr>
          <w:rFonts w:ascii="Arial" w:hAnsi="Arial" w:cs="Arial"/>
          <w:b/>
        </w:rPr>
      </w:pPr>
      <w:r w:rsidRPr="00E27427">
        <w:rPr>
          <w:rFonts w:ascii="Arial" w:hAnsi="Arial" w:cs="Arial"/>
          <w:b/>
        </w:rPr>
        <w:t xml:space="preserve"> **Solent Recreation Mitigation Strategy</w:t>
      </w:r>
    </w:p>
    <w:p w14:paraId="5D7D9037" w14:textId="334384E5" w:rsidR="00BA69B3" w:rsidRDefault="00BA69B3" w:rsidP="00D929E0">
      <w:pPr>
        <w:rPr>
          <w:rFonts w:ascii="Arial" w:hAnsi="Arial" w:cs="Arial"/>
          <w:b/>
          <w:lang w:val="en"/>
        </w:rPr>
      </w:pPr>
      <w:r w:rsidRPr="00E27427">
        <w:rPr>
          <w:rFonts w:ascii="Arial" w:hAnsi="Arial" w:cs="Arial"/>
        </w:rPr>
        <w:t>The charges</w:t>
      </w:r>
      <w:r w:rsidR="006F2FAD" w:rsidRPr="00E27427">
        <w:rPr>
          <w:rFonts w:ascii="Arial" w:hAnsi="Arial" w:cs="Arial"/>
        </w:rPr>
        <w:t xml:space="preserve"> </w:t>
      </w:r>
      <w:r w:rsidRPr="00E27427">
        <w:rPr>
          <w:rFonts w:ascii="Arial" w:hAnsi="Arial" w:cs="Arial"/>
        </w:rPr>
        <w:t xml:space="preserve">are set out below, based on the maximum number of </w:t>
      </w:r>
      <w:r w:rsidRPr="00E27427">
        <w:rPr>
          <w:rFonts w:ascii="Arial" w:hAnsi="Arial" w:cs="Arial"/>
          <w:b/>
          <w:bCs/>
        </w:rPr>
        <w:t>net</w:t>
      </w:r>
      <w:r w:rsidRPr="00E27427">
        <w:rPr>
          <w:rFonts w:ascii="Arial" w:hAnsi="Arial" w:cs="Arial"/>
        </w:rPr>
        <w:t xml:space="preserve"> new dwellings and bedroom sizes; contribution will be indexed (RPI), these rates will be updated 1/4/2</w:t>
      </w:r>
      <w:r w:rsidR="00D929E0">
        <w:rPr>
          <w:rFonts w:ascii="Arial" w:hAnsi="Arial" w:cs="Arial"/>
        </w:rPr>
        <w:t>6</w:t>
      </w:r>
      <w:r w:rsidRPr="00E27427">
        <w:rPr>
          <w:rFonts w:ascii="Arial" w:hAnsi="Arial" w:cs="Arial"/>
        </w:rPr>
        <w:t xml:space="preserve">: </w:t>
      </w:r>
      <w:hyperlink r:id="rId9" w:history="1">
        <w:r w:rsidRPr="00E27427">
          <w:rPr>
            <w:rStyle w:val="Hyperlink"/>
            <w:rFonts w:ascii="Arial" w:hAnsi="Arial" w:cs="Arial"/>
            <w:color w:val="auto"/>
          </w:rPr>
          <w:t>http://www.havant.gov.uk/unilateral-undertaking-solent-recreation-mitigation-strategy</w:t>
        </w:r>
      </w:hyperlink>
    </w:p>
    <w:tbl>
      <w:tblPr>
        <w:tblStyle w:val="TableGrid"/>
        <w:tblW w:w="0" w:type="auto"/>
        <w:tblLook w:val="04A0" w:firstRow="1" w:lastRow="0" w:firstColumn="1" w:lastColumn="0" w:noHBand="0" w:noVBand="1"/>
      </w:tblPr>
      <w:tblGrid>
        <w:gridCol w:w="1803"/>
        <w:gridCol w:w="1803"/>
        <w:gridCol w:w="5410"/>
      </w:tblGrid>
      <w:tr w:rsidR="00D929E0" w:rsidRPr="00D929E0" w14:paraId="37EBA8CB" w14:textId="77777777">
        <w:tc>
          <w:tcPr>
            <w:tcW w:w="1803" w:type="dxa"/>
            <w:tcBorders>
              <w:top w:val="single" w:sz="4" w:space="0" w:color="auto"/>
              <w:left w:val="single" w:sz="4" w:space="0" w:color="auto"/>
              <w:bottom w:val="single" w:sz="4" w:space="0" w:color="auto"/>
              <w:right w:val="single" w:sz="4" w:space="0" w:color="auto"/>
            </w:tcBorders>
            <w:hideMark/>
          </w:tcPr>
          <w:p w14:paraId="1EFE68F9" w14:textId="77777777" w:rsidR="00D929E0" w:rsidRPr="00D929E0" w:rsidRDefault="00D929E0" w:rsidP="00D929E0">
            <w:pPr>
              <w:spacing w:after="160" w:line="259" w:lineRule="auto"/>
              <w:rPr>
                <w:rFonts w:ascii="Arial" w:hAnsi="Arial" w:cs="Arial"/>
                <w:b/>
              </w:rPr>
            </w:pPr>
            <w:r w:rsidRPr="00D929E0">
              <w:rPr>
                <w:rFonts w:ascii="Arial" w:hAnsi="Arial" w:cs="Arial"/>
                <w:b/>
              </w:rPr>
              <w:t>No. of Bedrooms</w:t>
            </w:r>
          </w:p>
        </w:tc>
        <w:tc>
          <w:tcPr>
            <w:tcW w:w="1803" w:type="dxa"/>
            <w:tcBorders>
              <w:top w:val="single" w:sz="4" w:space="0" w:color="auto"/>
              <w:left w:val="single" w:sz="4" w:space="0" w:color="auto"/>
              <w:bottom w:val="single" w:sz="4" w:space="0" w:color="auto"/>
              <w:right w:val="single" w:sz="4" w:space="0" w:color="auto"/>
            </w:tcBorders>
            <w:hideMark/>
          </w:tcPr>
          <w:p w14:paraId="210DCF62" w14:textId="77777777" w:rsidR="00D929E0" w:rsidRPr="00D929E0" w:rsidRDefault="00D929E0" w:rsidP="00D929E0">
            <w:pPr>
              <w:spacing w:after="160" w:line="259" w:lineRule="auto"/>
              <w:rPr>
                <w:rFonts w:ascii="Arial" w:hAnsi="Arial" w:cs="Arial"/>
                <w:b/>
              </w:rPr>
            </w:pPr>
            <w:r w:rsidRPr="00D929E0">
              <w:rPr>
                <w:rFonts w:ascii="Arial" w:hAnsi="Arial" w:cs="Arial"/>
                <w:b/>
              </w:rPr>
              <w:t>Amount</w:t>
            </w:r>
          </w:p>
        </w:tc>
        <w:tc>
          <w:tcPr>
            <w:tcW w:w="5410" w:type="dxa"/>
            <w:tcBorders>
              <w:top w:val="single" w:sz="4" w:space="0" w:color="auto"/>
              <w:left w:val="single" w:sz="4" w:space="0" w:color="auto"/>
              <w:bottom w:val="single" w:sz="4" w:space="0" w:color="auto"/>
              <w:right w:val="single" w:sz="4" w:space="0" w:color="auto"/>
            </w:tcBorders>
            <w:hideMark/>
          </w:tcPr>
          <w:p w14:paraId="6B137554" w14:textId="5B680C28" w:rsidR="00D929E0" w:rsidRPr="00D929E0" w:rsidRDefault="00D929E0" w:rsidP="00D929E0">
            <w:pPr>
              <w:spacing w:after="160" w:line="259" w:lineRule="auto"/>
              <w:rPr>
                <w:rFonts w:ascii="Arial" w:hAnsi="Arial" w:cs="Arial"/>
                <w:b/>
              </w:rPr>
            </w:pPr>
            <w:r>
              <w:rPr>
                <w:rFonts w:ascii="Arial" w:hAnsi="Arial" w:cs="Arial"/>
                <w:b/>
              </w:rPr>
              <w:t>M</w:t>
            </w:r>
            <w:r w:rsidRPr="00D929E0">
              <w:rPr>
                <w:rFonts w:ascii="Arial" w:hAnsi="Arial" w:cs="Arial"/>
                <w:b/>
              </w:rPr>
              <w:t>onitoring fee</w:t>
            </w:r>
          </w:p>
          <w:p w14:paraId="24785899" w14:textId="41A741B5" w:rsidR="00D929E0" w:rsidRPr="00D929E0" w:rsidRDefault="00D929E0" w:rsidP="00D929E0">
            <w:pPr>
              <w:spacing w:after="160" w:line="259" w:lineRule="auto"/>
              <w:rPr>
                <w:rFonts w:ascii="Arial" w:hAnsi="Arial" w:cs="Arial"/>
                <w:b/>
              </w:rPr>
            </w:pPr>
          </w:p>
        </w:tc>
      </w:tr>
      <w:tr w:rsidR="00D929E0" w:rsidRPr="00D929E0" w14:paraId="7E01CB25" w14:textId="77777777" w:rsidTr="00D929E0">
        <w:tc>
          <w:tcPr>
            <w:tcW w:w="1803" w:type="dxa"/>
            <w:tcBorders>
              <w:top w:val="single" w:sz="4" w:space="0" w:color="auto"/>
              <w:left w:val="single" w:sz="4" w:space="0" w:color="auto"/>
              <w:bottom w:val="single" w:sz="4" w:space="0" w:color="auto"/>
              <w:right w:val="single" w:sz="4" w:space="0" w:color="auto"/>
            </w:tcBorders>
            <w:hideMark/>
          </w:tcPr>
          <w:p w14:paraId="66B74AF6" w14:textId="77777777" w:rsidR="00D929E0" w:rsidRPr="00D929E0" w:rsidRDefault="00D929E0" w:rsidP="00D929E0">
            <w:pPr>
              <w:spacing w:after="160" w:line="259" w:lineRule="auto"/>
              <w:rPr>
                <w:rFonts w:ascii="Arial" w:hAnsi="Arial" w:cs="Arial"/>
                <w:bCs/>
              </w:rPr>
            </w:pPr>
            <w:r w:rsidRPr="00D929E0">
              <w:rPr>
                <w:rFonts w:ascii="Arial" w:hAnsi="Arial" w:cs="Arial"/>
                <w:bCs/>
              </w:rPr>
              <w:t>1</w:t>
            </w:r>
          </w:p>
        </w:tc>
        <w:tc>
          <w:tcPr>
            <w:tcW w:w="1803" w:type="dxa"/>
            <w:tcBorders>
              <w:top w:val="single" w:sz="4" w:space="0" w:color="auto"/>
              <w:left w:val="single" w:sz="4" w:space="0" w:color="auto"/>
              <w:bottom w:val="single" w:sz="4" w:space="0" w:color="auto"/>
              <w:right w:val="single" w:sz="4" w:space="0" w:color="auto"/>
            </w:tcBorders>
            <w:hideMark/>
          </w:tcPr>
          <w:p w14:paraId="20C3A9B1" w14:textId="77777777" w:rsidR="00D929E0" w:rsidRPr="00D929E0" w:rsidRDefault="00D929E0" w:rsidP="00D929E0">
            <w:pPr>
              <w:spacing w:after="160" w:line="259" w:lineRule="auto"/>
              <w:rPr>
                <w:rFonts w:ascii="Arial" w:hAnsi="Arial" w:cs="Arial"/>
                <w:bCs/>
              </w:rPr>
            </w:pPr>
            <w:r w:rsidRPr="00D929E0">
              <w:rPr>
                <w:rFonts w:ascii="Arial" w:hAnsi="Arial" w:cs="Arial"/>
                <w:bCs/>
              </w:rPr>
              <w:t>£482</w:t>
            </w:r>
          </w:p>
        </w:tc>
        <w:tc>
          <w:tcPr>
            <w:tcW w:w="5410" w:type="dxa"/>
            <w:vMerge w:val="restart"/>
            <w:tcBorders>
              <w:top w:val="single" w:sz="4" w:space="0" w:color="auto"/>
              <w:left w:val="single" w:sz="4" w:space="0" w:color="auto"/>
              <w:right w:val="single" w:sz="4" w:space="0" w:color="auto"/>
            </w:tcBorders>
          </w:tcPr>
          <w:p w14:paraId="61F48E3E" w14:textId="6E9D6F00" w:rsidR="00D929E0" w:rsidRPr="00D929E0" w:rsidRDefault="00D929E0" w:rsidP="00D929E0">
            <w:pPr>
              <w:spacing w:after="160" w:line="259" w:lineRule="auto"/>
              <w:rPr>
                <w:rFonts w:ascii="Arial" w:hAnsi="Arial" w:cs="Arial"/>
                <w:bCs/>
              </w:rPr>
            </w:pPr>
            <w:r w:rsidRPr="00E27427">
              <w:rPr>
                <w:rFonts w:ascii="Arial" w:hAnsi="Arial" w:cs="Arial"/>
                <w:sz w:val="20"/>
                <w:szCs w:val="20"/>
              </w:rPr>
              <w:t>Plus 5% of total (sum may be included in ‘HBC Monitoring Fees’)</w:t>
            </w:r>
          </w:p>
        </w:tc>
      </w:tr>
      <w:tr w:rsidR="00D929E0" w:rsidRPr="00D929E0" w14:paraId="0F277C8A" w14:textId="77777777">
        <w:tc>
          <w:tcPr>
            <w:tcW w:w="1803" w:type="dxa"/>
            <w:tcBorders>
              <w:top w:val="single" w:sz="4" w:space="0" w:color="auto"/>
              <w:left w:val="single" w:sz="4" w:space="0" w:color="auto"/>
              <w:bottom w:val="single" w:sz="4" w:space="0" w:color="auto"/>
              <w:right w:val="single" w:sz="4" w:space="0" w:color="auto"/>
            </w:tcBorders>
            <w:hideMark/>
          </w:tcPr>
          <w:p w14:paraId="25DB367D" w14:textId="77777777" w:rsidR="00D929E0" w:rsidRPr="00D929E0" w:rsidRDefault="00D929E0" w:rsidP="00D929E0">
            <w:pPr>
              <w:spacing w:after="160" w:line="259" w:lineRule="auto"/>
              <w:rPr>
                <w:rFonts w:ascii="Arial" w:hAnsi="Arial" w:cs="Arial"/>
                <w:bCs/>
              </w:rPr>
            </w:pPr>
            <w:r w:rsidRPr="00D929E0">
              <w:rPr>
                <w:rFonts w:ascii="Arial" w:hAnsi="Arial" w:cs="Arial"/>
                <w:bCs/>
              </w:rPr>
              <w:t>2</w:t>
            </w:r>
          </w:p>
        </w:tc>
        <w:tc>
          <w:tcPr>
            <w:tcW w:w="1803" w:type="dxa"/>
            <w:tcBorders>
              <w:top w:val="single" w:sz="4" w:space="0" w:color="auto"/>
              <w:left w:val="single" w:sz="4" w:space="0" w:color="auto"/>
              <w:bottom w:val="single" w:sz="4" w:space="0" w:color="auto"/>
              <w:right w:val="single" w:sz="4" w:space="0" w:color="auto"/>
            </w:tcBorders>
            <w:hideMark/>
          </w:tcPr>
          <w:p w14:paraId="65C6308D" w14:textId="77777777" w:rsidR="00D929E0" w:rsidRPr="00D929E0" w:rsidRDefault="00D929E0" w:rsidP="00D929E0">
            <w:pPr>
              <w:spacing w:after="160" w:line="259" w:lineRule="auto"/>
              <w:rPr>
                <w:rFonts w:ascii="Arial" w:hAnsi="Arial" w:cs="Arial"/>
                <w:bCs/>
              </w:rPr>
            </w:pPr>
            <w:r w:rsidRPr="00D929E0">
              <w:rPr>
                <w:rFonts w:ascii="Arial" w:hAnsi="Arial" w:cs="Arial"/>
                <w:bCs/>
              </w:rPr>
              <w:t>£696</w:t>
            </w:r>
          </w:p>
        </w:tc>
        <w:tc>
          <w:tcPr>
            <w:tcW w:w="5410" w:type="dxa"/>
            <w:vMerge/>
            <w:tcBorders>
              <w:left w:val="single" w:sz="4" w:space="0" w:color="auto"/>
              <w:right w:val="single" w:sz="4" w:space="0" w:color="auto"/>
            </w:tcBorders>
            <w:hideMark/>
          </w:tcPr>
          <w:p w14:paraId="721AF49F" w14:textId="631F3145" w:rsidR="00D929E0" w:rsidRPr="00D929E0" w:rsidRDefault="00D929E0" w:rsidP="00D929E0">
            <w:pPr>
              <w:spacing w:after="160" w:line="259" w:lineRule="auto"/>
              <w:rPr>
                <w:rFonts w:ascii="Arial" w:hAnsi="Arial" w:cs="Arial"/>
                <w:bCs/>
              </w:rPr>
            </w:pPr>
          </w:p>
        </w:tc>
      </w:tr>
      <w:tr w:rsidR="00D929E0" w:rsidRPr="00D929E0" w14:paraId="284A4316" w14:textId="77777777">
        <w:tc>
          <w:tcPr>
            <w:tcW w:w="1803" w:type="dxa"/>
            <w:tcBorders>
              <w:top w:val="single" w:sz="4" w:space="0" w:color="auto"/>
              <w:left w:val="single" w:sz="4" w:space="0" w:color="auto"/>
              <w:bottom w:val="single" w:sz="4" w:space="0" w:color="auto"/>
              <w:right w:val="single" w:sz="4" w:space="0" w:color="auto"/>
            </w:tcBorders>
            <w:hideMark/>
          </w:tcPr>
          <w:p w14:paraId="78E16883" w14:textId="77777777" w:rsidR="00D929E0" w:rsidRPr="00D929E0" w:rsidRDefault="00D929E0" w:rsidP="00D929E0">
            <w:pPr>
              <w:spacing w:after="160" w:line="259" w:lineRule="auto"/>
              <w:rPr>
                <w:rFonts w:ascii="Arial" w:hAnsi="Arial" w:cs="Arial"/>
                <w:bCs/>
              </w:rPr>
            </w:pPr>
            <w:r w:rsidRPr="00D929E0">
              <w:rPr>
                <w:rFonts w:ascii="Arial" w:hAnsi="Arial" w:cs="Arial"/>
                <w:bCs/>
              </w:rPr>
              <w:t>3</w:t>
            </w:r>
          </w:p>
        </w:tc>
        <w:tc>
          <w:tcPr>
            <w:tcW w:w="1803" w:type="dxa"/>
            <w:tcBorders>
              <w:top w:val="single" w:sz="4" w:space="0" w:color="auto"/>
              <w:left w:val="single" w:sz="4" w:space="0" w:color="auto"/>
              <w:bottom w:val="single" w:sz="4" w:space="0" w:color="auto"/>
              <w:right w:val="single" w:sz="4" w:space="0" w:color="auto"/>
            </w:tcBorders>
            <w:hideMark/>
          </w:tcPr>
          <w:p w14:paraId="7A735422" w14:textId="77777777" w:rsidR="00D929E0" w:rsidRPr="00D929E0" w:rsidRDefault="00D929E0" w:rsidP="00D929E0">
            <w:pPr>
              <w:spacing w:after="160" w:line="259" w:lineRule="auto"/>
              <w:rPr>
                <w:rFonts w:ascii="Arial" w:hAnsi="Arial" w:cs="Arial"/>
                <w:bCs/>
              </w:rPr>
            </w:pPr>
            <w:r w:rsidRPr="00D929E0">
              <w:rPr>
                <w:rFonts w:ascii="Arial" w:hAnsi="Arial" w:cs="Arial"/>
                <w:bCs/>
              </w:rPr>
              <w:t>£907</w:t>
            </w:r>
          </w:p>
        </w:tc>
        <w:tc>
          <w:tcPr>
            <w:tcW w:w="5410" w:type="dxa"/>
            <w:vMerge/>
            <w:tcBorders>
              <w:left w:val="single" w:sz="4" w:space="0" w:color="auto"/>
              <w:right w:val="single" w:sz="4" w:space="0" w:color="auto"/>
            </w:tcBorders>
            <w:hideMark/>
          </w:tcPr>
          <w:p w14:paraId="3ECF0D9E" w14:textId="41979CA5" w:rsidR="00D929E0" w:rsidRPr="00D929E0" w:rsidRDefault="00D929E0" w:rsidP="00D929E0">
            <w:pPr>
              <w:spacing w:after="160" w:line="259" w:lineRule="auto"/>
              <w:rPr>
                <w:rFonts w:ascii="Arial" w:hAnsi="Arial" w:cs="Arial"/>
                <w:bCs/>
              </w:rPr>
            </w:pPr>
          </w:p>
        </w:tc>
      </w:tr>
      <w:tr w:rsidR="00D929E0" w:rsidRPr="00D929E0" w14:paraId="300D43F2" w14:textId="77777777">
        <w:tc>
          <w:tcPr>
            <w:tcW w:w="1803" w:type="dxa"/>
            <w:tcBorders>
              <w:top w:val="single" w:sz="4" w:space="0" w:color="auto"/>
              <w:left w:val="single" w:sz="4" w:space="0" w:color="auto"/>
              <w:bottom w:val="single" w:sz="4" w:space="0" w:color="auto"/>
              <w:right w:val="single" w:sz="4" w:space="0" w:color="auto"/>
            </w:tcBorders>
            <w:hideMark/>
          </w:tcPr>
          <w:p w14:paraId="43FC70EB" w14:textId="77777777" w:rsidR="00D929E0" w:rsidRPr="00D929E0" w:rsidRDefault="00D929E0" w:rsidP="00D929E0">
            <w:pPr>
              <w:spacing w:after="160" w:line="259" w:lineRule="auto"/>
              <w:rPr>
                <w:rFonts w:ascii="Arial" w:hAnsi="Arial" w:cs="Arial"/>
                <w:bCs/>
              </w:rPr>
            </w:pPr>
            <w:r w:rsidRPr="00D929E0">
              <w:rPr>
                <w:rFonts w:ascii="Arial" w:hAnsi="Arial" w:cs="Arial"/>
                <w:bCs/>
              </w:rPr>
              <w:t>4</w:t>
            </w:r>
          </w:p>
        </w:tc>
        <w:tc>
          <w:tcPr>
            <w:tcW w:w="1803" w:type="dxa"/>
            <w:tcBorders>
              <w:top w:val="single" w:sz="4" w:space="0" w:color="auto"/>
              <w:left w:val="single" w:sz="4" w:space="0" w:color="auto"/>
              <w:bottom w:val="single" w:sz="4" w:space="0" w:color="auto"/>
              <w:right w:val="single" w:sz="4" w:space="0" w:color="auto"/>
            </w:tcBorders>
            <w:hideMark/>
          </w:tcPr>
          <w:p w14:paraId="4684BD9D" w14:textId="77777777" w:rsidR="00D929E0" w:rsidRPr="00D929E0" w:rsidRDefault="00D929E0" w:rsidP="00D929E0">
            <w:pPr>
              <w:spacing w:after="160" w:line="259" w:lineRule="auto"/>
              <w:rPr>
                <w:rFonts w:ascii="Arial" w:hAnsi="Arial" w:cs="Arial"/>
                <w:bCs/>
              </w:rPr>
            </w:pPr>
            <w:r w:rsidRPr="00D929E0">
              <w:rPr>
                <w:rFonts w:ascii="Arial" w:hAnsi="Arial" w:cs="Arial"/>
                <w:bCs/>
              </w:rPr>
              <w:t>£1,067</w:t>
            </w:r>
          </w:p>
        </w:tc>
        <w:tc>
          <w:tcPr>
            <w:tcW w:w="5410" w:type="dxa"/>
            <w:vMerge/>
            <w:tcBorders>
              <w:left w:val="single" w:sz="4" w:space="0" w:color="auto"/>
              <w:right w:val="single" w:sz="4" w:space="0" w:color="auto"/>
            </w:tcBorders>
            <w:hideMark/>
          </w:tcPr>
          <w:p w14:paraId="16EA2800" w14:textId="15A02D1D" w:rsidR="00D929E0" w:rsidRPr="00D929E0" w:rsidRDefault="00D929E0" w:rsidP="00D929E0">
            <w:pPr>
              <w:spacing w:after="160" w:line="259" w:lineRule="auto"/>
              <w:rPr>
                <w:rFonts w:ascii="Arial" w:hAnsi="Arial" w:cs="Arial"/>
                <w:bCs/>
              </w:rPr>
            </w:pPr>
          </w:p>
        </w:tc>
      </w:tr>
      <w:tr w:rsidR="00D929E0" w:rsidRPr="00D929E0" w14:paraId="0FFBC89E" w14:textId="77777777">
        <w:tc>
          <w:tcPr>
            <w:tcW w:w="1803" w:type="dxa"/>
            <w:tcBorders>
              <w:top w:val="single" w:sz="4" w:space="0" w:color="auto"/>
              <w:left w:val="single" w:sz="4" w:space="0" w:color="auto"/>
              <w:bottom w:val="single" w:sz="4" w:space="0" w:color="auto"/>
              <w:right w:val="single" w:sz="4" w:space="0" w:color="auto"/>
            </w:tcBorders>
            <w:hideMark/>
          </w:tcPr>
          <w:p w14:paraId="07F45A62" w14:textId="77777777" w:rsidR="00D929E0" w:rsidRPr="00D929E0" w:rsidRDefault="00D929E0" w:rsidP="00D929E0">
            <w:pPr>
              <w:spacing w:after="160" w:line="259" w:lineRule="auto"/>
              <w:rPr>
                <w:rFonts w:ascii="Arial" w:hAnsi="Arial" w:cs="Arial"/>
                <w:bCs/>
              </w:rPr>
            </w:pPr>
            <w:r w:rsidRPr="00D929E0">
              <w:rPr>
                <w:rFonts w:ascii="Arial" w:hAnsi="Arial" w:cs="Arial"/>
                <w:bCs/>
              </w:rPr>
              <w:t>5</w:t>
            </w:r>
          </w:p>
        </w:tc>
        <w:tc>
          <w:tcPr>
            <w:tcW w:w="1803" w:type="dxa"/>
            <w:tcBorders>
              <w:top w:val="single" w:sz="4" w:space="0" w:color="auto"/>
              <w:left w:val="single" w:sz="4" w:space="0" w:color="auto"/>
              <w:bottom w:val="single" w:sz="4" w:space="0" w:color="auto"/>
              <w:right w:val="single" w:sz="4" w:space="0" w:color="auto"/>
            </w:tcBorders>
            <w:hideMark/>
          </w:tcPr>
          <w:p w14:paraId="443C0F4F" w14:textId="77777777" w:rsidR="00D929E0" w:rsidRPr="00D929E0" w:rsidRDefault="00D929E0" w:rsidP="00D929E0">
            <w:pPr>
              <w:spacing w:after="160" w:line="259" w:lineRule="auto"/>
              <w:rPr>
                <w:rFonts w:ascii="Arial" w:hAnsi="Arial" w:cs="Arial"/>
                <w:bCs/>
              </w:rPr>
            </w:pPr>
            <w:r w:rsidRPr="00D929E0">
              <w:rPr>
                <w:rFonts w:ascii="Arial" w:hAnsi="Arial" w:cs="Arial"/>
                <w:bCs/>
              </w:rPr>
              <w:t>£1,251</w:t>
            </w:r>
          </w:p>
        </w:tc>
        <w:tc>
          <w:tcPr>
            <w:tcW w:w="5410" w:type="dxa"/>
            <w:vMerge/>
            <w:tcBorders>
              <w:left w:val="single" w:sz="4" w:space="0" w:color="auto"/>
              <w:bottom w:val="single" w:sz="4" w:space="0" w:color="auto"/>
              <w:right w:val="single" w:sz="4" w:space="0" w:color="auto"/>
            </w:tcBorders>
            <w:hideMark/>
          </w:tcPr>
          <w:p w14:paraId="6D592560" w14:textId="1A791E65" w:rsidR="00D929E0" w:rsidRPr="00D929E0" w:rsidRDefault="00D929E0" w:rsidP="00D929E0">
            <w:pPr>
              <w:spacing w:after="160" w:line="259" w:lineRule="auto"/>
              <w:rPr>
                <w:rFonts w:ascii="Arial" w:hAnsi="Arial" w:cs="Arial"/>
                <w:bCs/>
              </w:rPr>
            </w:pPr>
          </w:p>
        </w:tc>
      </w:tr>
    </w:tbl>
    <w:p w14:paraId="6811F821" w14:textId="77777777" w:rsidR="00D929E0" w:rsidRPr="00E27427" w:rsidRDefault="00D929E0" w:rsidP="00BA69B3">
      <w:pPr>
        <w:spacing w:after="160" w:line="259" w:lineRule="auto"/>
        <w:rPr>
          <w:rFonts w:ascii="Arial" w:hAnsi="Arial" w:cs="Arial"/>
          <w:b/>
          <w:lang w:val="en"/>
        </w:rPr>
      </w:pPr>
    </w:p>
    <w:p w14:paraId="15B7E072" w14:textId="77777777" w:rsidR="00BA69B3" w:rsidRPr="00E27427" w:rsidRDefault="00BA69B3" w:rsidP="000E51C0">
      <w:pPr>
        <w:autoSpaceDE w:val="0"/>
        <w:autoSpaceDN w:val="0"/>
        <w:adjustRightInd w:val="0"/>
        <w:spacing w:after="0" w:line="240" w:lineRule="auto"/>
        <w:rPr>
          <w:rFonts w:ascii="Arial" w:hAnsi="Arial" w:cs="Arial"/>
        </w:rPr>
      </w:pPr>
    </w:p>
    <w:p w14:paraId="6FCFB98A" w14:textId="77777777" w:rsidR="00E27427" w:rsidRPr="00E27427" w:rsidRDefault="00E27427" w:rsidP="00E27427">
      <w:pPr>
        <w:autoSpaceDE w:val="0"/>
        <w:autoSpaceDN w:val="0"/>
        <w:adjustRightInd w:val="0"/>
        <w:spacing w:after="0" w:line="240" w:lineRule="auto"/>
        <w:rPr>
          <w:rFonts w:ascii="Arial" w:hAnsi="Arial" w:cs="Arial"/>
          <w:b/>
        </w:rPr>
      </w:pPr>
      <w:r w:rsidRPr="00E27427">
        <w:rPr>
          <w:rFonts w:ascii="Arial" w:hAnsi="Arial" w:cs="Arial"/>
          <w:b/>
        </w:rPr>
        <w:t>***Third Party Nutrient Mitigation Schemes</w:t>
      </w:r>
    </w:p>
    <w:p w14:paraId="2C23D904" w14:textId="77777777" w:rsidR="00E27427" w:rsidRPr="00E27427" w:rsidRDefault="00E27427" w:rsidP="00E27427">
      <w:pPr>
        <w:autoSpaceDE w:val="0"/>
        <w:autoSpaceDN w:val="0"/>
        <w:adjustRightInd w:val="0"/>
        <w:spacing w:after="0" w:line="240" w:lineRule="auto"/>
        <w:rPr>
          <w:rFonts w:ascii="Arial" w:hAnsi="Arial" w:cs="Arial"/>
          <w:b/>
        </w:rPr>
      </w:pPr>
    </w:p>
    <w:p w14:paraId="2DB22C36" w14:textId="4F42E6BA" w:rsidR="000E51C0" w:rsidRPr="00E27427" w:rsidRDefault="00E27427" w:rsidP="00E27427">
      <w:pPr>
        <w:autoSpaceDE w:val="0"/>
        <w:autoSpaceDN w:val="0"/>
        <w:adjustRightInd w:val="0"/>
        <w:spacing w:after="0" w:line="240" w:lineRule="auto"/>
        <w:rPr>
          <w:rFonts w:ascii="Arial" w:hAnsi="Arial" w:cs="Arial"/>
          <w:bCs/>
        </w:rPr>
      </w:pPr>
      <w:r w:rsidRPr="00E27427">
        <w:rPr>
          <w:rFonts w:ascii="Arial" w:hAnsi="Arial" w:cs="Arial"/>
          <w:bCs/>
        </w:rPr>
        <w:t>Havant Borough Council is responsible for ongoing monitoring of Third Party Nutrient Mitigation Schemes. When accepting mitigation from such schemes for example Warnford Park Estate, the Council will need to seek a payment from the applicant to contribute towards these costs.</w:t>
      </w:r>
      <w:r w:rsidR="00D929E0">
        <w:rPr>
          <w:rFonts w:ascii="Arial" w:hAnsi="Arial" w:cs="Arial"/>
          <w:bCs/>
        </w:rPr>
        <w:t xml:space="preserve">. </w:t>
      </w:r>
      <w:r w:rsidRPr="00E27427">
        <w:rPr>
          <w:rFonts w:ascii="Arial" w:hAnsi="Arial" w:cs="Arial"/>
          <w:bCs/>
        </w:rPr>
        <w:t>The amount payable will be 1% of the total overall kilogramme (kg) purchase cost. Where this is calculated to be less than £100, a minimum fee of £100 will be payable.</w:t>
      </w:r>
      <w:r w:rsidR="00D929E0">
        <w:rPr>
          <w:rFonts w:ascii="Arial" w:hAnsi="Arial" w:cs="Arial"/>
          <w:bCs/>
        </w:rPr>
        <w:t xml:space="preserve"> This charge can be collected outside the S106 agreement.</w:t>
      </w:r>
    </w:p>
    <w:sectPr w:rsidR="000E51C0" w:rsidRPr="00E2742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393C" w14:textId="77777777" w:rsidR="00016D06" w:rsidRDefault="00016D06" w:rsidP="00424E0A">
      <w:pPr>
        <w:spacing w:after="0" w:line="240" w:lineRule="auto"/>
      </w:pPr>
      <w:r>
        <w:separator/>
      </w:r>
    </w:p>
  </w:endnote>
  <w:endnote w:type="continuationSeparator" w:id="0">
    <w:p w14:paraId="5B6C7D9B" w14:textId="77777777" w:rsidR="00016D06" w:rsidRDefault="00016D06" w:rsidP="0042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309338"/>
      <w:docPartObj>
        <w:docPartGallery w:val="Page Numbers (Bottom of Page)"/>
        <w:docPartUnique/>
      </w:docPartObj>
    </w:sdtPr>
    <w:sdtEndPr>
      <w:rPr>
        <w:noProof/>
      </w:rPr>
    </w:sdtEndPr>
    <w:sdtContent>
      <w:p w14:paraId="4224614F" w14:textId="466F386B" w:rsidR="00424E0A" w:rsidRDefault="00424E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0C2CC" w14:textId="77777777" w:rsidR="00424E0A" w:rsidRDefault="00424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04813" w14:textId="77777777" w:rsidR="00016D06" w:rsidRDefault="00016D06" w:rsidP="00424E0A">
      <w:pPr>
        <w:spacing w:after="0" w:line="240" w:lineRule="auto"/>
      </w:pPr>
      <w:r>
        <w:separator/>
      </w:r>
    </w:p>
  </w:footnote>
  <w:footnote w:type="continuationSeparator" w:id="0">
    <w:p w14:paraId="7CDC7785" w14:textId="77777777" w:rsidR="00016D06" w:rsidRDefault="00016D06" w:rsidP="00424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33623"/>
    <w:multiLevelType w:val="multilevel"/>
    <w:tmpl w:val="1E0AD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07C98"/>
    <w:multiLevelType w:val="multilevel"/>
    <w:tmpl w:val="6624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050323"/>
    <w:multiLevelType w:val="multilevel"/>
    <w:tmpl w:val="0E1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398794215">
    <w:abstractNumId w:val="4"/>
  </w:num>
  <w:num w:numId="2" w16cid:durableId="375472451">
    <w:abstractNumId w:val="5"/>
  </w:num>
  <w:num w:numId="3" w16cid:durableId="2075619894">
    <w:abstractNumId w:val="0"/>
  </w:num>
  <w:num w:numId="4" w16cid:durableId="1837568321">
    <w:abstractNumId w:val="1"/>
  </w:num>
  <w:num w:numId="5" w16cid:durableId="890849816">
    <w:abstractNumId w:val="2"/>
  </w:num>
  <w:num w:numId="6" w16cid:durableId="1593467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16D06"/>
    <w:rsid w:val="00036255"/>
    <w:rsid w:val="000470D0"/>
    <w:rsid w:val="0005296D"/>
    <w:rsid w:val="00087E9C"/>
    <w:rsid w:val="000B0EE3"/>
    <w:rsid w:val="000B198B"/>
    <w:rsid w:val="000E51C0"/>
    <w:rsid w:val="000F53FE"/>
    <w:rsid w:val="00146D6D"/>
    <w:rsid w:val="001544FE"/>
    <w:rsid w:val="00166607"/>
    <w:rsid w:val="001B2B6E"/>
    <w:rsid w:val="001C0A55"/>
    <w:rsid w:val="001C5CD9"/>
    <w:rsid w:val="001E440A"/>
    <w:rsid w:val="001F63C6"/>
    <w:rsid w:val="00203F2A"/>
    <w:rsid w:val="00242FF1"/>
    <w:rsid w:val="00285AFB"/>
    <w:rsid w:val="002A1652"/>
    <w:rsid w:val="002A6D3D"/>
    <w:rsid w:val="002B579C"/>
    <w:rsid w:val="002E39E5"/>
    <w:rsid w:val="002E5550"/>
    <w:rsid w:val="002E6398"/>
    <w:rsid w:val="00313624"/>
    <w:rsid w:val="00314489"/>
    <w:rsid w:val="003362A9"/>
    <w:rsid w:val="003420A9"/>
    <w:rsid w:val="003A3A79"/>
    <w:rsid w:val="003C6C6F"/>
    <w:rsid w:val="0040430C"/>
    <w:rsid w:val="00424E0A"/>
    <w:rsid w:val="00446494"/>
    <w:rsid w:val="0046350F"/>
    <w:rsid w:val="00472E88"/>
    <w:rsid w:val="004829B0"/>
    <w:rsid w:val="0048469D"/>
    <w:rsid w:val="004B4167"/>
    <w:rsid w:val="005105C0"/>
    <w:rsid w:val="00510DB0"/>
    <w:rsid w:val="00562BAA"/>
    <w:rsid w:val="005B56A3"/>
    <w:rsid w:val="005C34ED"/>
    <w:rsid w:val="005E2B8A"/>
    <w:rsid w:val="005F79EA"/>
    <w:rsid w:val="00627420"/>
    <w:rsid w:val="0063574D"/>
    <w:rsid w:val="006A3DFD"/>
    <w:rsid w:val="006A6818"/>
    <w:rsid w:val="006F2FAD"/>
    <w:rsid w:val="0070510B"/>
    <w:rsid w:val="00711938"/>
    <w:rsid w:val="00726663"/>
    <w:rsid w:val="00727636"/>
    <w:rsid w:val="00773A52"/>
    <w:rsid w:val="00791DE2"/>
    <w:rsid w:val="007B1797"/>
    <w:rsid w:val="007C3787"/>
    <w:rsid w:val="007F0B17"/>
    <w:rsid w:val="00812CB0"/>
    <w:rsid w:val="00852957"/>
    <w:rsid w:val="00872EFA"/>
    <w:rsid w:val="008A4058"/>
    <w:rsid w:val="008C6592"/>
    <w:rsid w:val="008C6620"/>
    <w:rsid w:val="008C6D1F"/>
    <w:rsid w:val="008D0653"/>
    <w:rsid w:val="008D1DF8"/>
    <w:rsid w:val="008E4FEE"/>
    <w:rsid w:val="008F033F"/>
    <w:rsid w:val="009233FB"/>
    <w:rsid w:val="00924111"/>
    <w:rsid w:val="0096241B"/>
    <w:rsid w:val="009A3A02"/>
    <w:rsid w:val="00A22A56"/>
    <w:rsid w:val="00A258EB"/>
    <w:rsid w:val="00A328B9"/>
    <w:rsid w:val="00A51637"/>
    <w:rsid w:val="00A947CB"/>
    <w:rsid w:val="00AB77F8"/>
    <w:rsid w:val="00AC3E43"/>
    <w:rsid w:val="00AD45DB"/>
    <w:rsid w:val="00AE78B8"/>
    <w:rsid w:val="00AF1879"/>
    <w:rsid w:val="00AF57BE"/>
    <w:rsid w:val="00B01433"/>
    <w:rsid w:val="00B0721C"/>
    <w:rsid w:val="00B35C8A"/>
    <w:rsid w:val="00B547F9"/>
    <w:rsid w:val="00B9611C"/>
    <w:rsid w:val="00BA69B3"/>
    <w:rsid w:val="00BF0640"/>
    <w:rsid w:val="00BF19FF"/>
    <w:rsid w:val="00BF217E"/>
    <w:rsid w:val="00C05A0A"/>
    <w:rsid w:val="00C14BFC"/>
    <w:rsid w:val="00C2244F"/>
    <w:rsid w:val="00C6557A"/>
    <w:rsid w:val="00C92149"/>
    <w:rsid w:val="00CA54E0"/>
    <w:rsid w:val="00CE0900"/>
    <w:rsid w:val="00CF072B"/>
    <w:rsid w:val="00CF7E4A"/>
    <w:rsid w:val="00D40024"/>
    <w:rsid w:val="00D42E53"/>
    <w:rsid w:val="00D643AE"/>
    <w:rsid w:val="00D70FEF"/>
    <w:rsid w:val="00D87C30"/>
    <w:rsid w:val="00D929E0"/>
    <w:rsid w:val="00DE236E"/>
    <w:rsid w:val="00DE2EA2"/>
    <w:rsid w:val="00E02F42"/>
    <w:rsid w:val="00E27427"/>
    <w:rsid w:val="00E533D9"/>
    <w:rsid w:val="00E76B57"/>
    <w:rsid w:val="00EC058A"/>
    <w:rsid w:val="00EE057E"/>
    <w:rsid w:val="00EE1B05"/>
    <w:rsid w:val="00F04F5F"/>
    <w:rsid w:val="00F21E15"/>
    <w:rsid w:val="00F4604C"/>
    <w:rsid w:val="00F96359"/>
    <w:rsid w:val="00FA6226"/>
    <w:rsid w:val="00FC3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AE40F290-1692-441F-A8E4-F6C767759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9E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24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E0A"/>
  </w:style>
  <w:style w:type="paragraph" w:styleId="Footer">
    <w:name w:val="footer"/>
    <w:basedOn w:val="Normal"/>
    <w:link w:val="FooterChar"/>
    <w:uiPriority w:val="99"/>
    <w:unhideWhenUsed/>
    <w:rsid w:val="00424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E0A"/>
  </w:style>
  <w:style w:type="character" w:styleId="CommentReference">
    <w:name w:val="annotation reference"/>
    <w:basedOn w:val="DefaultParagraphFont"/>
    <w:uiPriority w:val="99"/>
    <w:semiHidden/>
    <w:unhideWhenUsed/>
    <w:rsid w:val="0063574D"/>
    <w:rPr>
      <w:sz w:val="16"/>
      <w:szCs w:val="16"/>
    </w:rPr>
  </w:style>
  <w:style w:type="paragraph" w:styleId="CommentText">
    <w:name w:val="annotation text"/>
    <w:basedOn w:val="Normal"/>
    <w:link w:val="CommentTextChar"/>
    <w:uiPriority w:val="99"/>
    <w:unhideWhenUsed/>
    <w:rsid w:val="0063574D"/>
    <w:pPr>
      <w:spacing w:line="240" w:lineRule="auto"/>
    </w:pPr>
    <w:rPr>
      <w:sz w:val="20"/>
      <w:szCs w:val="20"/>
    </w:rPr>
  </w:style>
  <w:style w:type="character" w:customStyle="1" w:styleId="CommentTextChar">
    <w:name w:val="Comment Text Char"/>
    <w:basedOn w:val="DefaultParagraphFont"/>
    <w:link w:val="CommentText"/>
    <w:uiPriority w:val="99"/>
    <w:rsid w:val="0063574D"/>
    <w:rPr>
      <w:sz w:val="20"/>
      <w:szCs w:val="20"/>
    </w:rPr>
  </w:style>
  <w:style w:type="paragraph" w:styleId="CommentSubject">
    <w:name w:val="annotation subject"/>
    <w:basedOn w:val="CommentText"/>
    <w:next w:val="CommentText"/>
    <w:link w:val="CommentSubjectChar"/>
    <w:uiPriority w:val="99"/>
    <w:semiHidden/>
    <w:unhideWhenUsed/>
    <w:rsid w:val="0063574D"/>
    <w:rPr>
      <w:b/>
      <w:bCs/>
    </w:rPr>
  </w:style>
  <w:style w:type="character" w:customStyle="1" w:styleId="CommentSubjectChar">
    <w:name w:val="Comment Subject Char"/>
    <w:basedOn w:val="CommentTextChar"/>
    <w:link w:val="CommentSubject"/>
    <w:uiPriority w:val="99"/>
    <w:semiHidden/>
    <w:rsid w:val="0063574D"/>
    <w:rPr>
      <w:b/>
      <w:bCs/>
      <w:sz w:val="20"/>
      <w:szCs w:val="20"/>
    </w:rPr>
  </w:style>
  <w:style w:type="paragraph" w:styleId="Revision">
    <w:name w:val="Revision"/>
    <w:hidden/>
    <w:uiPriority w:val="99"/>
    <w:semiHidden/>
    <w:rsid w:val="001E4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63099">
      <w:bodyDiv w:val="1"/>
      <w:marLeft w:val="0"/>
      <w:marRight w:val="0"/>
      <w:marTop w:val="0"/>
      <w:marBottom w:val="0"/>
      <w:divBdr>
        <w:top w:val="none" w:sz="0" w:space="0" w:color="auto"/>
        <w:left w:val="none" w:sz="0" w:space="0" w:color="auto"/>
        <w:bottom w:val="none" w:sz="0" w:space="0" w:color="auto"/>
        <w:right w:val="none" w:sz="0" w:space="0" w:color="auto"/>
      </w:divBdr>
    </w:div>
    <w:div w:id="354696351">
      <w:bodyDiv w:val="1"/>
      <w:marLeft w:val="0"/>
      <w:marRight w:val="0"/>
      <w:marTop w:val="0"/>
      <w:marBottom w:val="0"/>
      <w:divBdr>
        <w:top w:val="none" w:sz="0" w:space="0" w:color="auto"/>
        <w:left w:val="none" w:sz="0" w:space="0" w:color="auto"/>
        <w:bottom w:val="none" w:sz="0" w:space="0" w:color="auto"/>
        <w:right w:val="none" w:sz="0" w:space="0" w:color="auto"/>
      </w:divBdr>
    </w:div>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4681435">
      <w:bodyDiv w:val="1"/>
      <w:marLeft w:val="0"/>
      <w:marRight w:val="0"/>
      <w:marTop w:val="0"/>
      <w:marBottom w:val="0"/>
      <w:divBdr>
        <w:top w:val="none" w:sz="0" w:space="0" w:color="auto"/>
        <w:left w:val="none" w:sz="0" w:space="0" w:color="auto"/>
        <w:bottom w:val="none" w:sz="0" w:space="0" w:color="auto"/>
        <w:right w:val="none" w:sz="0" w:space="0" w:color="auto"/>
      </w:divBdr>
    </w:div>
    <w:div w:id="736169027">
      <w:bodyDiv w:val="1"/>
      <w:marLeft w:val="0"/>
      <w:marRight w:val="0"/>
      <w:marTop w:val="0"/>
      <w:marBottom w:val="0"/>
      <w:divBdr>
        <w:top w:val="none" w:sz="0" w:space="0" w:color="auto"/>
        <w:left w:val="none" w:sz="0" w:space="0" w:color="auto"/>
        <w:bottom w:val="none" w:sz="0" w:space="0" w:color="auto"/>
        <w:right w:val="none" w:sz="0" w:space="0" w:color="auto"/>
      </w:divBdr>
    </w:div>
    <w:div w:id="776340058">
      <w:bodyDiv w:val="1"/>
      <w:marLeft w:val="0"/>
      <w:marRight w:val="0"/>
      <w:marTop w:val="0"/>
      <w:marBottom w:val="0"/>
      <w:divBdr>
        <w:top w:val="none" w:sz="0" w:space="0" w:color="auto"/>
        <w:left w:val="none" w:sz="0" w:space="0" w:color="auto"/>
        <w:bottom w:val="none" w:sz="0" w:space="0" w:color="auto"/>
        <w:right w:val="none" w:sz="0" w:space="0" w:color="auto"/>
      </w:divBdr>
    </w:div>
    <w:div w:id="900403487">
      <w:bodyDiv w:val="1"/>
      <w:marLeft w:val="0"/>
      <w:marRight w:val="0"/>
      <w:marTop w:val="0"/>
      <w:marBottom w:val="0"/>
      <w:divBdr>
        <w:top w:val="none" w:sz="0" w:space="0" w:color="auto"/>
        <w:left w:val="none" w:sz="0" w:space="0" w:color="auto"/>
        <w:bottom w:val="none" w:sz="0" w:space="0" w:color="auto"/>
        <w:right w:val="none" w:sz="0" w:space="0" w:color="auto"/>
      </w:divBdr>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 w:id="186289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community-infrastructure-levy" TargetMode="External"/><Relationship Id="rId3" Type="http://schemas.openxmlformats.org/officeDocument/2006/relationships/settings" Target="settings.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unilateral-undertaking-solent-recreation-mitigation-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583</Words>
  <Characters>3401</Characters>
  <Application>Microsoft Office Word</Application>
  <DocSecurity>0</DocSecurity>
  <Lines>97</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Bartlett, Jennifer</cp:lastModifiedBy>
  <cp:revision>2</cp:revision>
  <dcterms:created xsi:type="dcterms:W3CDTF">2025-09-24T11:20:00Z</dcterms:created>
  <dcterms:modified xsi:type="dcterms:W3CDTF">2025-10-08T12:45:00Z</dcterms:modified>
</cp:coreProperties>
</file>