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75D2F239">
                <wp:simplePos x="0" y="0"/>
                <wp:positionH relativeFrom="column">
                  <wp:posOffset>7620</wp:posOffset>
                </wp:positionH>
                <wp:positionV relativeFrom="paragraph">
                  <wp:posOffset>401955</wp:posOffset>
                </wp:positionV>
                <wp:extent cx="5775960" cy="1897380"/>
                <wp:effectExtent l="0" t="0" r="15240" b="266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189738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1CCF7CAE"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9271AC">
                              <w:rPr>
                                <w:rFonts w:ascii="Calibri" w:hAnsi="Calibri" w:cs="Calibri"/>
                                <w:b/>
                                <w:sz w:val="22"/>
                                <w:szCs w:val="22"/>
                              </w:rPr>
                              <w:t>1</w:t>
                            </w:r>
                            <w:r w:rsidR="00654AA9">
                              <w:rPr>
                                <w:rFonts w:ascii="Calibri" w:hAnsi="Calibri" w:cs="Calibri"/>
                                <w:b/>
                                <w:sz w:val="22"/>
                                <w:szCs w:val="22"/>
                              </w:rPr>
                              <w:t>8</w:t>
                            </w:r>
                            <w:r w:rsidR="00F614CE">
                              <w:rPr>
                                <w:rFonts w:ascii="Calibri" w:hAnsi="Calibri" w:cs="Calibri"/>
                                <w:b/>
                                <w:sz w:val="22"/>
                                <w:szCs w:val="22"/>
                              </w:rPr>
                              <w:t>/11</w:t>
                            </w:r>
                            <w:r w:rsidR="00CA6095">
                              <w:rPr>
                                <w:rFonts w:ascii="Calibri" w:hAnsi="Calibri" w:cs="Calibri"/>
                                <w:b/>
                                <w:sz w:val="22"/>
                                <w:szCs w:val="22"/>
                              </w:rPr>
                              <w:t>/25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4610D3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B335BB">
                              <w:rPr>
                                <w:rFonts w:ascii="Calibri" w:hAnsi="Calibri" w:cs="Calibri"/>
                                <w:b/>
                                <w:sz w:val="22"/>
                                <w:szCs w:val="22"/>
                              </w:rPr>
                              <w:t>0</w:t>
                            </w:r>
                            <w:r w:rsidR="005E535E">
                              <w:rPr>
                                <w:rFonts w:ascii="Calibri" w:hAnsi="Calibri" w:cs="Calibri"/>
                                <w:b/>
                                <w:sz w:val="22"/>
                                <w:szCs w:val="22"/>
                              </w:rPr>
                              <w:t>0</w:t>
                            </w:r>
                            <w:r w:rsidR="00654AA9">
                              <w:rPr>
                                <w:rFonts w:ascii="Calibri" w:hAnsi="Calibri" w:cs="Calibri"/>
                                <w:b/>
                                <w:sz w:val="22"/>
                                <w:szCs w:val="22"/>
                              </w:rPr>
                              <w:t>645</w:t>
                            </w:r>
                          </w:p>
                          <w:p w14:paraId="458D1D24" w14:textId="333C2234"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654AA9">
                              <w:rPr>
                                <w:rFonts w:ascii="Calibri" w:hAnsi="Calibri" w:cs="Calibri"/>
                                <w:b/>
                                <w:sz w:val="22"/>
                                <w:szCs w:val="22"/>
                              </w:rPr>
                              <w:t xml:space="preserve">Towers Farm, 16 Bedhampton Hill Road, Havant </w:t>
                            </w:r>
                            <w:r w:rsidR="005E535E">
                              <w:rPr>
                                <w:rFonts w:ascii="Calibri" w:hAnsi="Calibri" w:cs="Calibri"/>
                                <w:b/>
                                <w:sz w:val="22"/>
                                <w:szCs w:val="22"/>
                              </w:rPr>
                              <w:t xml:space="preserve"> </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6EAA45CB" w14:textId="7862B44F" w:rsidR="00F37313" w:rsidRPr="00F37313" w:rsidRDefault="00654AA9" w:rsidP="00F37313">
                            <w:pPr>
                              <w:pStyle w:val="Normal0"/>
                              <w:rPr>
                                <w:rFonts w:ascii="Calibri" w:hAnsi="Calibri" w:cs="Calibri"/>
                                <w:b/>
                                <w:sz w:val="22"/>
                                <w:szCs w:val="22"/>
                              </w:rPr>
                            </w:pPr>
                            <w:r w:rsidRPr="00654AA9">
                              <w:rPr>
                                <w:rFonts w:ascii="Calibri" w:hAnsi="Calibri" w:cs="Calibri"/>
                                <w:b/>
                                <w:sz w:val="22"/>
                                <w:szCs w:val="22"/>
                              </w:rPr>
                              <w:t>Extension to existing annex including new dormers.</w:t>
                            </w:r>
                            <w:r w:rsidR="009271AC" w:rsidRPr="009271AC">
                              <w:rPr>
                                <w:rFonts w:ascii="Calibri" w:hAnsi="Calibri" w:cs="Calibri"/>
                                <w:b/>
                                <w:sz w:val="22"/>
                                <w:szCs w:val="22"/>
                              </w:rPr>
                              <w:t xml:space="preserve"> </w:t>
                            </w: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6pt;margin-top:31.65pt;width:454.8pt;height:149.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" fillcolor="#c1e4f5 [660]">
                <v:textbox>
                  <w:txbxContent>
                    <w:p w14:paraId="7546DDFA" w14:textId="1CCF7CAE"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9271AC">
                        <w:rPr>
                          <w:rFonts w:ascii="Calibri" w:hAnsi="Calibri" w:cs="Calibri"/>
                          <w:b/>
                          <w:sz w:val="22"/>
                          <w:szCs w:val="22"/>
                        </w:rPr>
                        <w:t>1</w:t>
                      </w:r>
                      <w:r w:rsidR="00654AA9">
                        <w:rPr>
                          <w:rFonts w:ascii="Calibri" w:hAnsi="Calibri" w:cs="Calibri"/>
                          <w:b/>
                          <w:sz w:val="22"/>
                          <w:szCs w:val="22"/>
                        </w:rPr>
                        <w:t>8</w:t>
                      </w:r>
                      <w:r w:rsidR="00F614CE">
                        <w:rPr>
                          <w:rFonts w:ascii="Calibri" w:hAnsi="Calibri" w:cs="Calibri"/>
                          <w:b/>
                          <w:sz w:val="22"/>
                          <w:szCs w:val="22"/>
                        </w:rPr>
                        <w:t>/11</w:t>
                      </w:r>
                      <w:r w:rsidR="00CA6095">
                        <w:rPr>
                          <w:rFonts w:ascii="Calibri" w:hAnsi="Calibri" w:cs="Calibri"/>
                          <w:b/>
                          <w:sz w:val="22"/>
                          <w:szCs w:val="22"/>
                        </w:rPr>
                        <w:t>/25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4610D3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B335BB">
                        <w:rPr>
                          <w:rFonts w:ascii="Calibri" w:hAnsi="Calibri" w:cs="Calibri"/>
                          <w:b/>
                          <w:sz w:val="22"/>
                          <w:szCs w:val="22"/>
                        </w:rPr>
                        <w:t>0</w:t>
                      </w:r>
                      <w:r w:rsidR="005E535E">
                        <w:rPr>
                          <w:rFonts w:ascii="Calibri" w:hAnsi="Calibri" w:cs="Calibri"/>
                          <w:b/>
                          <w:sz w:val="22"/>
                          <w:szCs w:val="22"/>
                        </w:rPr>
                        <w:t>0</w:t>
                      </w:r>
                      <w:r w:rsidR="00654AA9">
                        <w:rPr>
                          <w:rFonts w:ascii="Calibri" w:hAnsi="Calibri" w:cs="Calibri"/>
                          <w:b/>
                          <w:sz w:val="22"/>
                          <w:szCs w:val="22"/>
                        </w:rPr>
                        <w:t>645</w:t>
                      </w:r>
                    </w:p>
                    <w:p w14:paraId="458D1D24" w14:textId="333C2234"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654AA9">
                        <w:rPr>
                          <w:rFonts w:ascii="Calibri" w:hAnsi="Calibri" w:cs="Calibri"/>
                          <w:b/>
                          <w:sz w:val="22"/>
                          <w:szCs w:val="22"/>
                        </w:rPr>
                        <w:t xml:space="preserve">Towers Farm, 16 Bedhampton Hill Road, Havant </w:t>
                      </w:r>
                      <w:r w:rsidR="005E535E">
                        <w:rPr>
                          <w:rFonts w:ascii="Calibri" w:hAnsi="Calibri" w:cs="Calibri"/>
                          <w:b/>
                          <w:sz w:val="22"/>
                          <w:szCs w:val="22"/>
                        </w:rPr>
                        <w:t xml:space="preserve"> </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6EAA45CB" w14:textId="7862B44F" w:rsidR="00F37313" w:rsidRPr="00F37313" w:rsidRDefault="00654AA9" w:rsidP="00F37313">
                      <w:pPr>
                        <w:pStyle w:val="Normal0"/>
                        <w:rPr>
                          <w:rFonts w:ascii="Calibri" w:hAnsi="Calibri" w:cs="Calibri"/>
                          <w:b/>
                          <w:sz w:val="22"/>
                          <w:szCs w:val="22"/>
                        </w:rPr>
                      </w:pPr>
                      <w:r w:rsidRPr="00654AA9">
                        <w:rPr>
                          <w:rFonts w:ascii="Calibri" w:hAnsi="Calibri" w:cs="Calibri"/>
                          <w:b/>
                          <w:sz w:val="22"/>
                          <w:szCs w:val="22"/>
                        </w:rPr>
                        <w:t>Extension to existing annex including new dormers.</w:t>
                      </w:r>
                      <w:r w:rsidR="009271AC" w:rsidRPr="009271AC">
                        <w:rPr>
                          <w:rFonts w:ascii="Calibri" w:hAnsi="Calibri" w:cs="Calibri"/>
                          <w:b/>
                          <w:sz w:val="22"/>
                          <w:szCs w:val="22"/>
                        </w:rPr>
                        <w:t xml:space="preserve"> </w:t>
                      </w: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29AEE3F1" w14:textId="73F24F41" w:rsidR="0041295C" w:rsidRDefault="002727E7" w:rsidP="009271AC">
      <w:pPr>
        <w:jc w:val="both"/>
        <w:rPr>
          <w:rFonts w:ascii="Calibri" w:hAnsi="Calibri" w:cs="Calibri"/>
          <w:sz w:val="22"/>
          <w:szCs w:val="22"/>
        </w:rPr>
      </w:pPr>
      <w:r w:rsidRPr="00031172">
        <w:rPr>
          <w:rFonts w:ascii="Calibri" w:hAnsi="Calibri" w:cs="Calibri"/>
          <w:sz w:val="22"/>
          <w:szCs w:val="22"/>
        </w:rPr>
        <w:t>The application site</w:t>
      </w:r>
      <w:r w:rsidR="00031172" w:rsidRPr="00031172">
        <w:rPr>
          <w:rFonts w:ascii="Calibri" w:hAnsi="Calibri" w:cs="Calibri"/>
          <w:sz w:val="22"/>
          <w:szCs w:val="22"/>
        </w:rPr>
        <w:t xml:space="preserve"> is </w:t>
      </w:r>
      <w:r w:rsidR="009271AC">
        <w:rPr>
          <w:rFonts w:ascii="Calibri" w:hAnsi="Calibri" w:cs="Calibri"/>
          <w:sz w:val="22"/>
          <w:szCs w:val="22"/>
        </w:rPr>
        <w:t xml:space="preserve">located </w:t>
      </w:r>
      <w:r w:rsidR="00654AA9">
        <w:rPr>
          <w:rFonts w:ascii="Calibri" w:hAnsi="Calibri" w:cs="Calibri"/>
          <w:sz w:val="22"/>
          <w:szCs w:val="22"/>
        </w:rPr>
        <w:t xml:space="preserve">on Bedhampton Hill Road in Havant. To the west of the site there is a Grade II listed building ‘The Towers’ which is in use as a care home. The application site comprises a detached, two-storey building, set back from the road but with several outbuildings across the site, including a detached outbuilding at the front of the site, close to the boundary with the highway. It is screened from view at the front and side boundary shared with the Towers, by an established leylandii screen. </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0FDAF5CA" w14:textId="77777777" w:rsidR="009617C0" w:rsidRPr="006C51A1" w:rsidRDefault="009617C0" w:rsidP="009617C0">
      <w:pPr>
        <w:rPr>
          <w:rFonts w:ascii="Calibri" w:hAnsi="Calibri" w:cs="Calibri"/>
          <w:sz w:val="22"/>
          <w:szCs w:val="22"/>
          <w:u w:val="single"/>
        </w:rPr>
      </w:pPr>
      <w:r w:rsidRPr="006C51A1">
        <w:rPr>
          <w:rFonts w:ascii="Calibri" w:hAnsi="Calibri" w:cs="Calibri"/>
          <w:sz w:val="22"/>
          <w:szCs w:val="22"/>
        </w:rPr>
        <w:t>Section 16 of the Planning (Listed Buildings and Conservation Areas) Act 1990 ("1990 Act") requires local planning authorities to have special regard to the desirability of preserving a listed building, its setting or any features of special architectural or historic interest when considering whether to grant listed building consent.</w:t>
      </w:r>
    </w:p>
    <w:p w14:paraId="773F310B" w14:textId="36A474C3" w:rsidR="00935FCE" w:rsidRPr="009617C0" w:rsidRDefault="009617C0" w:rsidP="009617C0">
      <w:pPr>
        <w:autoSpaceDE w:val="0"/>
        <w:autoSpaceDN w:val="0"/>
        <w:adjustRightInd w:val="0"/>
        <w:jc w:val="both"/>
        <w:rPr>
          <w:rFonts w:ascii="Calibri" w:eastAsia="ArialMT" w:hAnsi="Calibri" w:cs="Calibri"/>
          <w:sz w:val="22"/>
          <w:szCs w:val="22"/>
        </w:rPr>
      </w:pPr>
      <w:r w:rsidRPr="006C51A1">
        <w:rPr>
          <w:rFonts w:ascii="Calibri" w:eastAsia="ArialMT" w:hAnsi="Calibri" w:cs="Calibri"/>
          <w:sz w:val="22"/>
          <w:szCs w:val="22"/>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17DD080F" w14:textId="2ECFDC32"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28E5C253" w14:textId="5DB08542" w:rsidR="00040242"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040242">
        <w:rPr>
          <w:rFonts w:ascii="Calibri" w:hAnsi="Calibri" w:cs="Calibri"/>
          <w:sz w:val="22"/>
          <w:szCs w:val="22"/>
        </w:rPr>
        <w:t xml:space="preserve">The following are most relevant: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lastRenderedPageBreak/>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xml:space="preserve">, the significance of a designated heritage asset, permission should be refused, unless this harm is necessary to achieve substantial public benefits, or </w:t>
      </w:r>
      <w:proofErr w:type="gramStart"/>
      <w:r w:rsidRPr="009769E7">
        <w:rPr>
          <w:rFonts w:ascii="Calibri" w:hAnsi="Calibri" w:cs="Calibri"/>
          <w:i/>
          <w:iCs/>
          <w:sz w:val="22"/>
          <w:szCs w:val="22"/>
        </w:rPr>
        <w:t>a number of</w:t>
      </w:r>
      <w:proofErr w:type="gramEnd"/>
      <w:r w:rsidRPr="009769E7">
        <w:rPr>
          <w:rFonts w:ascii="Calibri" w:hAnsi="Calibri" w:cs="Calibri"/>
          <w:i/>
          <w:iCs/>
          <w:sz w:val="22"/>
          <w:szCs w:val="22"/>
        </w:rPr>
        <w:t xml:space="preserve"> criteria are met. Where less than substantial harm is 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Default="00D132BD" w:rsidP="002A25D7">
      <w:pPr>
        <w:jc w:val="both"/>
        <w:rPr>
          <w:rFonts w:ascii="Calibri" w:hAnsi="Calibri" w:cs="Calibri"/>
          <w:i/>
          <w:iCs/>
          <w:color w:val="0B0C0C"/>
          <w:sz w:val="22"/>
          <w:szCs w:val="22"/>
          <w:shd w:val="clear" w:color="auto" w:fill="FFFFFF"/>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72C3BC32" w14:textId="049E8BBC" w:rsidR="00040242" w:rsidRDefault="00040242" w:rsidP="00040242">
      <w:pPr>
        <w:jc w:val="both"/>
        <w:rPr>
          <w:rFonts w:ascii="Calibri" w:hAnsi="Calibri" w:cs="Calibri"/>
          <w:sz w:val="22"/>
          <w:szCs w:val="22"/>
        </w:rPr>
      </w:pPr>
      <w:r w:rsidRPr="00493D1E">
        <w:rPr>
          <w:rFonts w:ascii="Calibri" w:hAnsi="Calibri" w:cs="Calibri"/>
          <w:sz w:val="22"/>
          <w:szCs w:val="22"/>
        </w:rPr>
        <w:t>The building subject to this application is not listed</w:t>
      </w:r>
      <w:r>
        <w:rPr>
          <w:rFonts w:ascii="Calibri" w:hAnsi="Calibri" w:cs="Calibri"/>
          <w:sz w:val="22"/>
          <w:szCs w:val="22"/>
        </w:rPr>
        <w:t>,</w:t>
      </w:r>
      <w:r w:rsidRPr="00493D1E">
        <w:rPr>
          <w:rFonts w:ascii="Calibri" w:hAnsi="Calibri" w:cs="Calibri"/>
          <w:sz w:val="22"/>
          <w:szCs w:val="22"/>
        </w:rPr>
        <w:t xml:space="preserve"> but is deemed to be a non-designated her</w:t>
      </w:r>
      <w:r>
        <w:rPr>
          <w:rFonts w:ascii="Calibri" w:hAnsi="Calibri" w:cs="Calibri"/>
          <w:sz w:val="22"/>
          <w:szCs w:val="22"/>
        </w:rPr>
        <w:t>it</w:t>
      </w:r>
      <w:r w:rsidRPr="00493D1E">
        <w:rPr>
          <w:rFonts w:ascii="Calibri" w:hAnsi="Calibri" w:cs="Calibri"/>
          <w:sz w:val="22"/>
          <w:szCs w:val="22"/>
        </w:rPr>
        <w:t>age asset (as set out in the introduction) and therefore the following paragraph</w:t>
      </w:r>
      <w:r>
        <w:rPr>
          <w:rFonts w:ascii="Calibri" w:hAnsi="Calibri" w:cs="Calibri"/>
          <w:sz w:val="22"/>
          <w:szCs w:val="22"/>
        </w:rPr>
        <w:t xml:space="preserve"> is also relevant: </w:t>
      </w:r>
    </w:p>
    <w:p w14:paraId="0D2E39F9" w14:textId="77777777" w:rsidR="00040242" w:rsidRDefault="00040242" w:rsidP="00040242">
      <w:pPr>
        <w:jc w:val="both"/>
        <w:rPr>
          <w:rFonts w:ascii="Calibri" w:hAnsi="Calibri" w:cs="Calibri"/>
          <w:sz w:val="22"/>
          <w:szCs w:val="22"/>
        </w:rPr>
      </w:pPr>
      <w:r>
        <w:rPr>
          <w:rFonts w:ascii="Calibri" w:hAnsi="Calibri" w:cs="Calibri"/>
          <w:sz w:val="22"/>
          <w:szCs w:val="22"/>
        </w:rPr>
        <w:t xml:space="preserve">Para 216: </w:t>
      </w:r>
    </w:p>
    <w:p w14:paraId="0B05A626" w14:textId="2B7BF497" w:rsidR="00040242" w:rsidRPr="00D132BD" w:rsidRDefault="00040242" w:rsidP="002A25D7">
      <w:pPr>
        <w:jc w:val="both"/>
        <w:rPr>
          <w:rFonts w:ascii="Calibri" w:hAnsi="Calibri" w:cs="Calibri"/>
          <w:i/>
          <w:iCs/>
          <w:sz w:val="22"/>
          <w:szCs w:val="22"/>
        </w:rPr>
      </w:pPr>
      <w:r w:rsidRPr="00040242">
        <w:rPr>
          <w:rFonts w:ascii="Calibri" w:hAnsi="Calibri" w:cs="Calibri"/>
          <w:i/>
          <w:iCs/>
          <w:sz w:val="22"/>
          <w:szCs w:val="22"/>
        </w:rPr>
        <w:t xml:space="preserve">‘The effect of an application on the significance of a non-designated heritage asset should be </w:t>
      </w:r>
      <w:proofErr w:type="gramStart"/>
      <w:r w:rsidRPr="00040242">
        <w:rPr>
          <w:rFonts w:ascii="Calibri" w:hAnsi="Calibri" w:cs="Calibri"/>
          <w:i/>
          <w:iCs/>
          <w:sz w:val="22"/>
          <w:szCs w:val="22"/>
        </w:rPr>
        <w:t>taken into account</w:t>
      </w:r>
      <w:proofErr w:type="gramEnd"/>
      <w:r w:rsidRPr="00040242">
        <w:rPr>
          <w:rFonts w:ascii="Calibri" w:hAnsi="Calibri" w:cs="Calibri"/>
          <w:i/>
          <w:iCs/>
          <w:sz w:val="22"/>
          <w:szCs w:val="22"/>
        </w:rPr>
        <w:t xml:space="preserve"> in determining the application. In weighing applications that directly or indirectly affect non-designated heritage assets, a balanced judgement will be required having regard to the scale of any harm or loss and the significance of the heritage asset’.</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w:t>
      </w:r>
      <w:proofErr w:type="gramStart"/>
      <w:r w:rsidRPr="00493D1E">
        <w:rPr>
          <w:rFonts w:ascii="Calibri" w:hAnsi="Calibri" w:cs="Calibri"/>
          <w:i/>
          <w:iCs/>
          <w:sz w:val="22"/>
          <w:szCs w:val="22"/>
        </w:rPr>
        <w:t>interest;</w:t>
      </w:r>
      <w:proofErr w:type="gramEnd"/>
      <w:r w:rsidRPr="00493D1E">
        <w:rPr>
          <w:rFonts w:ascii="Calibri" w:hAnsi="Calibri" w:cs="Calibri"/>
          <w:i/>
          <w:iCs/>
          <w:sz w:val="22"/>
          <w:szCs w:val="22"/>
        </w:rPr>
        <w:t xml:space="preserve">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w:t>
      </w:r>
      <w:proofErr w:type="gramStart"/>
      <w:r w:rsidRPr="00493D1E">
        <w:rPr>
          <w:rFonts w:ascii="Calibri" w:hAnsi="Calibri" w:cs="Calibri"/>
          <w:i/>
          <w:iCs/>
          <w:sz w:val="22"/>
          <w:szCs w:val="22"/>
        </w:rPr>
        <w:t>doors;</w:t>
      </w:r>
      <w:proofErr w:type="gramEnd"/>
      <w:r w:rsidRPr="00493D1E">
        <w:rPr>
          <w:rFonts w:ascii="Calibri" w:hAnsi="Calibri" w:cs="Calibri"/>
          <w:i/>
          <w:iCs/>
          <w:sz w:val="22"/>
          <w:szCs w:val="22"/>
        </w:rPr>
        <w:t xml:space="preserve">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lastRenderedPageBreak/>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 xml:space="preserve">Policy DM20 states </w:t>
      </w:r>
      <w:proofErr w:type="gramStart"/>
      <w:r w:rsidRPr="00493D1E">
        <w:rPr>
          <w:rFonts w:ascii="Calibri" w:hAnsi="Calibri" w:cs="Calibri"/>
          <w:sz w:val="22"/>
          <w:szCs w:val="22"/>
        </w:rPr>
        <w:t>that</w:t>
      </w:r>
      <w:r w:rsidR="00A75182" w:rsidRPr="00493D1E">
        <w:rPr>
          <w:rFonts w:ascii="Calibri" w:hAnsi="Calibri" w:cs="Calibri"/>
          <w:sz w:val="22"/>
          <w:szCs w:val="22"/>
        </w:rPr>
        <w:t>;</w:t>
      </w:r>
      <w:proofErr w:type="gramEnd"/>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292CC73A" w:rsidR="009A6F4C" w:rsidRDefault="00B374C1" w:rsidP="00B12D34">
      <w:pPr>
        <w:jc w:val="both"/>
        <w:rPr>
          <w:rFonts w:ascii="Calibri" w:hAnsi="Calibri" w:cs="Calibri"/>
          <w:bCs/>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7E9833B2" w14:textId="72B10A98" w:rsidR="00935FCE" w:rsidRDefault="00F37313" w:rsidP="001C7FFA">
      <w:pPr>
        <w:jc w:val="both"/>
        <w:rPr>
          <w:rFonts w:ascii="Calibri" w:hAnsi="Calibri" w:cs="Calibri"/>
          <w:sz w:val="22"/>
          <w:szCs w:val="22"/>
        </w:rPr>
      </w:pPr>
      <w:r>
        <w:rPr>
          <w:rFonts w:ascii="Calibri" w:hAnsi="Calibri" w:cs="Calibri"/>
          <w:sz w:val="22"/>
          <w:szCs w:val="22"/>
        </w:rPr>
        <w:t>The prop</w:t>
      </w:r>
      <w:r w:rsidR="001C7FFA">
        <w:rPr>
          <w:rFonts w:ascii="Calibri" w:hAnsi="Calibri" w:cs="Calibri"/>
          <w:sz w:val="22"/>
          <w:szCs w:val="22"/>
        </w:rPr>
        <w:t xml:space="preserve">osal is for an extension to the </w:t>
      </w:r>
      <w:r w:rsidR="0025036D">
        <w:rPr>
          <w:rFonts w:ascii="Calibri" w:hAnsi="Calibri" w:cs="Calibri"/>
          <w:sz w:val="22"/>
          <w:szCs w:val="22"/>
        </w:rPr>
        <w:t xml:space="preserve">north (side) elevation of the </w:t>
      </w:r>
      <w:r w:rsidR="001C7FFA">
        <w:rPr>
          <w:rFonts w:ascii="Calibri" w:hAnsi="Calibri" w:cs="Calibri"/>
          <w:sz w:val="22"/>
          <w:szCs w:val="22"/>
        </w:rPr>
        <w:t>outbuilding at the front of the site</w:t>
      </w:r>
      <w:r w:rsidR="0025036D">
        <w:rPr>
          <w:rFonts w:ascii="Calibri" w:hAnsi="Calibri" w:cs="Calibri"/>
          <w:sz w:val="22"/>
          <w:szCs w:val="22"/>
        </w:rPr>
        <w:t xml:space="preserve">, including the construction of 2no. dormer windows to the front elevation which faces into the site. </w:t>
      </w:r>
    </w:p>
    <w:p w14:paraId="7E486322" w14:textId="5F5073E9" w:rsidR="0025036D" w:rsidRDefault="0025036D" w:rsidP="001C7FFA">
      <w:pPr>
        <w:jc w:val="both"/>
        <w:rPr>
          <w:rFonts w:ascii="Calibri" w:hAnsi="Calibri" w:cs="Calibri"/>
          <w:sz w:val="22"/>
          <w:szCs w:val="22"/>
        </w:rPr>
      </w:pPr>
      <w:r>
        <w:rPr>
          <w:rFonts w:ascii="Calibri" w:hAnsi="Calibri" w:cs="Calibri"/>
          <w:sz w:val="22"/>
          <w:szCs w:val="22"/>
        </w:rPr>
        <w:t xml:space="preserve">The existing structure is partially visible when stood within the front car park area of the adjacent listed building which serves as a care home. The proposed extension would appear more visible from within the grounds of the listed building, as the hedge screening is less dense further north along the shared boundary. However, there is intervening development in the form a double garage building which would sit between the proposed extension and the car park area within the grounds of the listed building. </w:t>
      </w:r>
    </w:p>
    <w:p w14:paraId="11E79631" w14:textId="550D3104" w:rsidR="00A1734B" w:rsidRPr="00131DAD" w:rsidRDefault="0037713B" w:rsidP="00131DAD">
      <w:pPr>
        <w:jc w:val="both"/>
        <w:rPr>
          <w:rFonts w:ascii="Calibri" w:hAnsi="Calibri" w:cs="Calibri"/>
          <w:sz w:val="22"/>
          <w:szCs w:val="22"/>
        </w:rPr>
      </w:pPr>
      <w:r w:rsidRPr="00131DAD">
        <w:rPr>
          <w:rFonts w:ascii="Calibri" w:hAnsi="Calibri" w:cs="Calibri"/>
          <w:sz w:val="22"/>
          <w:szCs w:val="22"/>
        </w:rPr>
        <w:t xml:space="preserve">Overall, </w:t>
      </w:r>
      <w:r w:rsidR="00FA0719">
        <w:rPr>
          <w:rFonts w:ascii="Calibri" w:hAnsi="Calibri" w:cs="Calibri"/>
          <w:sz w:val="22"/>
          <w:szCs w:val="22"/>
        </w:rPr>
        <w:t xml:space="preserve">whilst the proposal would be visible from within the setting of the listed building, this setting includes a car park and intervening development and is therefore of low significance in relation to the hertiage asset in its entirety.  As such, </w:t>
      </w:r>
      <w:r w:rsidRPr="00131DAD">
        <w:rPr>
          <w:rFonts w:ascii="Calibri" w:hAnsi="Calibri" w:cs="Calibri"/>
          <w:sz w:val="22"/>
          <w:szCs w:val="22"/>
        </w:rPr>
        <w:t>it is considered that the proposal would not result in harm to</w:t>
      </w:r>
      <w:r w:rsidR="00FA0719">
        <w:rPr>
          <w:rFonts w:ascii="Calibri" w:hAnsi="Calibri" w:cs="Calibri"/>
          <w:sz w:val="22"/>
          <w:szCs w:val="22"/>
        </w:rPr>
        <w:t xml:space="preserve"> the setting of the adjacent </w:t>
      </w:r>
      <w:r w:rsidR="00935FCE">
        <w:rPr>
          <w:rFonts w:ascii="Calibri" w:hAnsi="Calibri" w:cs="Calibri"/>
          <w:sz w:val="22"/>
          <w:szCs w:val="22"/>
        </w:rPr>
        <w:t>listed building</w:t>
      </w:r>
      <w:r w:rsidR="00FA0719">
        <w:rPr>
          <w:rFonts w:ascii="Calibri" w:hAnsi="Calibri" w:cs="Calibri"/>
          <w:sz w:val="22"/>
          <w:szCs w:val="22"/>
        </w:rPr>
        <w:t xml:space="preserve">. </w:t>
      </w:r>
      <w:r w:rsidR="00935FCE">
        <w:rPr>
          <w:rFonts w:ascii="Calibri" w:hAnsi="Calibri" w:cs="Calibri"/>
          <w:sz w:val="22"/>
          <w:szCs w:val="22"/>
        </w:rPr>
        <w:t>The application</w:t>
      </w:r>
      <w:r w:rsidR="00FA0719">
        <w:rPr>
          <w:rFonts w:ascii="Calibri" w:hAnsi="Calibri" w:cs="Calibri"/>
          <w:sz w:val="22"/>
          <w:szCs w:val="22"/>
        </w:rPr>
        <w:t xml:space="preserve"> is therefore considered to </w:t>
      </w:r>
      <w:r w:rsidR="00935FCE">
        <w:rPr>
          <w:rFonts w:ascii="Calibri" w:hAnsi="Calibri" w:cs="Calibri"/>
          <w:sz w:val="22"/>
          <w:szCs w:val="22"/>
        </w:rPr>
        <w:t xml:space="preserve">meet the tests </w:t>
      </w:r>
      <w:r w:rsidRPr="00131DAD">
        <w:rPr>
          <w:rFonts w:ascii="Calibri" w:hAnsi="Calibri" w:cs="Calibri"/>
          <w:sz w:val="22"/>
          <w:szCs w:val="22"/>
        </w:rPr>
        <w:t xml:space="preserve">set out in </w:t>
      </w:r>
      <w:r w:rsidR="00895769" w:rsidRPr="00131DAD">
        <w:rPr>
          <w:rFonts w:ascii="Calibri" w:hAnsi="Calibri" w:cs="Calibri"/>
          <w:sz w:val="22"/>
          <w:szCs w:val="22"/>
        </w:rPr>
        <w:t>S</w:t>
      </w:r>
      <w:r w:rsidR="00935FCE">
        <w:rPr>
          <w:rFonts w:ascii="Calibri" w:hAnsi="Calibri" w:cs="Calibri"/>
          <w:sz w:val="22"/>
          <w:szCs w:val="22"/>
        </w:rPr>
        <w:t>16 and S66</w:t>
      </w:r>
      <w:r w:rsidR="00895769" w:rsidRPr="00131DAD">
        <w:rPr>
          <w:rFonts w:ascii="Calibri" w:hAnsi="Calibri" w:cs="Calibri"/>
          <w:sz w:val="22"/>
          <w:szCs w:val="22"/>
        </w:rPr>
        <w:t xml:space="preserve"> of the </w:t>
      </w:r>
      <w:r w:rsidR="00A1734B" w:rsidRPr="00131DAD">
        <w:rPr>
          <w:rFonts w:ascii="Calibri" w:hAnsi="Calibri" w:cs="Calibri"/>
          <w:sz w:val="22"/>
          <w:szCs w:val="22"/>
        </w:rPr>
        <w:t xml:space="preserve">Planning (Listed Buildings and Conservation Areas) Act 1990 ("1990 Act"), </w:t>
      </w:r>
      <w:r w:rsidR="00436C9F" w:rsidRPr="00131DAD">
        <w:rPr>
          <w:rFonts w:ascii="Calibri" w:hAnsi="Calibri" w:cs="Calibri"/>
          <w:sz w:val="22"/>
          <w:szCs w:val="22"/>
        </w:rPr>
        <w:t xml:space="preserve">as well as being </w:t>
      </w:r>
      <w:r w:rsidRPr="00131DAD">
        <w:rPr>
          <w:rFonts w:ascii="Calibri" w:hAnsi="Calibri" w:cs="Calibri"/>
          <w:sz w:val="22"/>
          <w:szCs w:val="22"/>
        </w:rPr>
        <w:t xml:space="preserve">compliant with the </w:t>
      </w:r>
      <w:r w:rsidR="00A1734B" w:rsidRPr="00131DAD">
        <w:rPr>
          <w:rFonts w:ascii="Calibri" w:hAnsi="Calibri" w:cs="Calibri"/>
          <w:sz w:val="22"/>
          <w:szCs w:val="22"/>
        </w:rPr>
        <w:t xml:space="preserve">relevant policies in the NPPF and </w:t>
      </w:r>
      <w:r w:rsidR="00FA0719">
        <w:rPr>
          <w:rFonts w:ascii="Calibri" w:hAnsi="Calibri" w:cs="Calibri"/>
          <w:sz w:val="22"/>
          <w:szCs w:val="22"/>
        </w:rPr>
        <w:t xml:space="preserve">adopted </w:t>
      </w:r>
      <w:r w:rsidR="00A1734B" w:rsidRPr="00131DAD">
        <w:rPr>
          <w:rFonts w:ascii="Calibri" w:hAnsi="Calibri" w:cs="Calibri"/>
          <w:sz w:val="22"/>
          <w:szCs w:val="22"/>
        </w:rPr>
        <w:t xml:space="preserve">Local Plan. </w:t>
      </w:r>
    </w:p>
    <w:p w14:paraId="6D3D8C38" w14:textId="2FA645F4" w:rsidR="00895769" w:rsidRDefault="00A93B74" w:rsidP="00EA2D36">
      <w:pPr>
        <w:jc w:val="both"/>
        <w:rPr>
          <w:rFonts w:ascii="Calibri" w:hAnsi="Calibri" w:cs="Calibri"/>
          <w:b/>
          <w:bCs/>
          <w:color w:val="0B0C0C"/>
          <w:sz w:val="22"/>
          <w:szCs w:val="22"/>
          <w:shd w:val="clear" w:color="auto" w:fill="FFFFFF"/>
        </w:rPr>
      </w:pPr>
      <w:r w:rsidRPr="005315D1">
        <w:rPr>
          <w:rFonts w:ascii="Calibri" w:hAnsi="Calibri" w:cs="Calibri"/>
          <w:b/>
          <w:bCs/>
          <w:color w:val="0B0C0C"/>
          <w:sz w:val="22"/>
          <w:szCs w:val="22"/>
          <w:highlight w:val="lightGray"/>
          <w:shd w:val="clear" w:color="auto" w:fill="FFFFFF"/>
        </w:rPr>
        <w:t>Conclusion</w:t>
      </w:r>
    </w:p>
    <w:p w14:paraId="68294CAF" w14:textId="30AB32BA" w:rsidR="0037713B" w:rsidRDefault="0037713B" w:rsidP="00EA2D36">
      <w:pPr>
        <w:jc w:val="both"/>
        <w:rPr>
          <w:rFonts w:ascii="Calibri" w:hAnsi="Calibri" w:cs="Calibri"/>
          <w:b/>
          <w:bCs/>
          <w:color w:val="0B0C0C"/>
          <w:sz w:val="22"/>
          <w:szCs w:val="22"/>
          <w:shd w:val="clear" w:color="auto" w:fill="FFFFFF"/>
        </w:rPr>
      </w:pPr>
      <w:r>
        <w:rPr>
          <w:rFonts w:ascii="Calibri" w:hAnsi="Calibri" w:cs="Calibri"/>
          <w:b/>
          <w:bCs/>
          <w:color w:val="0B0C0C"/>
          <w:sz w:val="22"/>
          <w:szCs w:val="22"/>
          <w:shd w:val="clear" w:color="auto" w:fill="FFFFFF"/>
        </w:rPr>
        <w:t xml:space="preserve">NO </w:t>
      </w:r>
      <w:r w:rsidR="00A93B74" w:rsidRPr="003F6414">
        <w:rPr>
          <w:rFonts w:ascii="Calibri" w:hAnsi="Calibri" w:cs="Calibri"/>
          <w:b/>
          <w:bCs/>
          <w:color w:val="0B0C0C"/>
          <w:sz w:val="22"/>
          <w:szCs w:val="22"/>
          <w:shd w:val="clear" w:color="auto" w:fill="FFFFFF"/>
        </w:rPr>
        <w:t>OBJECTION</w:t>
      </w:r>
      <w:r>
        <w:rPr>
          <w:rFonts w:ascii="Calibri" w:hAnsi="Calibri" w:cs="Calibri"/>
          <w:b/>
          <w:bCs/>
          <w:color w:val="0B0C0C"/>
          <w:sz w:val="22"/>
          <w:szCs w:val="22"/>
          <w:shd w:val="clear" w:color="auto" w:fill="FFFFFF"/>
        </w:rPr>
        <w:t xml:space="preserve"> </w:t>
      </w:r>
    </w:p>
    <w:p w14:paraId="0D30E6E7" w14:textId="627EFC86" w:rsidR="00586210" w:rsidRPr="003B4A51" w:rsidRDefault="00586210" w:rsidP="003B4A51">
      <w:pPr>
        <w:jc w:val="both"/>
        <w:rPr>
          <w:rFonts w:ascii="Calibri" w:hAnsi="Calibri" w:cs="Calibri"/>
          <w:sz w:val="22"/>
          <w:szCs w:val="22"/>
        </w:rPr>
      </w:pP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548AD"/>
    <w:multiLevelType w:val="hybridMultilevel"/>
    <w:tmpl w:val="9FD09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322054"/>
    <w:multiLevelType w:val="hybridMultilevel"/>
    <w:tmpl w:val="00B69998"/>
    <w:lvl w:ilvl="0" w:tplc="D3DEA7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FD3CF7"/>
    <w:multiLevelType w:val="hybridMultilevel"/>
    <w:tmpl w:val="8160A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65224D"/>
    <w:multiLevelType w:val="hybridMultilevel"/>
    <w:tmpl w:val="AB92A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1F2192"/>
    <w:multiLevelType w:val="hybridMultilevel"/>
    <w:tmpl w:val="F0CA1768"/>
    <w:lvl w:ilvl="0" w:tplc="D9F2A7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6C52238"/>
    <w:multiLevelType w:val="hybridMultilevel"/>
    <w:tmpl w:val="9C029A22"/>
    <w:lvl w:ilvl="0" w:tplc="F8A20E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8"/>
  </w:num>
  <w:num w:numId="2" w16cid:durableId="751972753">
    <w:abstractNumId w:val="16"/>
  </w:num>
  <w:num w:numId="3" w16cid:durableId="1809206664">
    <w:abstractNumId w:val="9"/>
  </w:num>
  <w:num w:numId="4" w16cid:durableId="2032418738">
    <w:abstractNumId w:val="11"/>
  </w:num>
  <w:num w:numId="5" w16cid:durableId="887572044">
    <w:abstractNumId w:val="7"/>
  </w:num>
  <w:num w:numId="6" w16cid:durableId="315845238">
    <w:abstractNumId w:val="10"/>
  </w:num>
  <w:num w:numId="7" w16cid:durableId="159973812">
    <w:abstractNumId w:val="2"/>
  </w:num>
  <w:num w:numId="8" w16cid:durableId="1633057636">
    <w:abstractNumId w:val="1"/>
  </w:num>
  <w:num w:numId="9" w16cid:durableId="999768810">
    <w:abstractNumId w:val="15"/>
  </w:num>
  <w:num w:numId="10" w16cid:durableId="979652522">
    <w:abstractNumId w:val="14"/>
  </w:num>
  <w:num w:numId="11" w16cid:durableId="1415201962">
    <w:abstractNumId w:val="6"/>
  </w:num>
  <w:num w:numId="12" w16cid:durableId="2146316439">
    <w:abstractNumId w:val="0"/>
  </w:num>
  <w:num w:numId="13" w16cid:durableId="1161235388">
    <w:abstractNumId w:val="4"/>
  </w:num>
  <w:num w:numId="14" w16cid:durableId="413551659">
    <w:abstractNumId w:val="12"/>
  </w:num>
  <w:num w:numId="15" w16cid:durableId="1101607364">
    <w:abstractNumId w:val="17"/>
  </w:num>
  <w:num w:numId="16" w16cid:durableId="1205018380">
    <w:abstractNumId w:val="3"/>
  </w:num>
  <w:num w:numId="17" w16cid:durableId="1602881977">
    <w:abstractNumId w:val="5"/>
  </w:num>
  <w:num w:numId="18" w16cid:durableId="5495372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1172"/>
    <w:rsid w:val="00032BAD"/>
    <w:rsid w:val="00040242"/>
    <w:rsid w:val="000B007A"/>
    <w:rsid w:val="000B3B84"/>
    <w:rsid w:val="000C79AA"/>
    <w:rsid w:val="00123B25"/>
    <w:rsid w:val="0012767B"/>
    <w:rsid w:val="00131DAD"/>
    <w:rsid w:val="00136C77"/>
    <w:rsid w:val="0014625B"/>
    <w:rsid w:val="00181232"/>
    <w:rsid w:val="00195710"/>
    <w:rsid w:val="00195CB1"/>
    <w:rsid w:val="00195D83"/>
    <w:rsid w:val="001C7FFA"/>
    <w:rsid w:val="00214695"/>
    <w:rsid w:val="0021656A"/>
    <w:rsid w:val="0025036D"/>
    <w:rsid w:val="0025513C"/>
    <w:rsid w:val="002727E7"/>
    <w:rsid w:val="002A25D7"/>
    <w:rsid w:val="002A3726"/>
    <w:rsid w:val="002D7F26"/>
    <w:rsid w:val="002E5E23"/>
    <w:rsid w:val="002E7663"/>
    <w:rsid w:val="002F6E50"/>
    <w:rsid w:val="00302359"/>
    <w:rsid w:val="0033167B"/>
    <w:rsid w:val="00343DA8"/>
    <w:rsid w:val="0037713B"/>
    <w:rsid w:val="003B4A51"/>
    <w:rsid w:val="003D72C2"/>
    <w:rsid w:val="003F58EF"/>
    <w:rsid w:val="003F6414"/>
    <w:rsid w:val="0041295C"/>
    <w:rsid w:val="004160C5"/>
    <w:rsid w:val="00436C9F"/>
    <w:rsid w:val="004377FB"/>
    <w:rsid w:val="004458F7"/>
    <w:rsid w:val="00463DFD"/>
    <w:rsid w:val="00470AB3"/>
    <w:rsid w:val="00474EE8"/>
    <w:rsid w:val="00493D1E"/>
    <w:rsid w:val="004C6E91"/>
    <w:rsid w:val="004D4ED5"/>
    <w:rsid w:val="004E41DC"/>
    <w:rsid w:val="004F61DA"/>
    <w:rsid w:val="004F6E36"/>
    <w:rsid w:val="005225AA"/>
    <w:rsid w:val="005315D1"/>
    <w:rsid w:val="00535273"/>
    <w:rsid w:val="005721A3"/>
    <w:rsid w:val="00580A86"/>
    <w:rsid w:val="00586210"/>
    <w:rsid w:val="005A0FE8"/>
    <w:rsid w:val="005A2565"/>
    <w:rsid w:val="005E3299"/>
    <w:rsid w:val="005E535E"/>
    <w:rsid w:val="00616599"/>
    <w:rsid w:val="00621CC0"/>
    <w:rsid w:val="00630130"/>
    <w:rsid w:val="00634D74"/>
    <w:rsid w:val="00643EBE"/>
    <w:rsid w:val="00654AA9"/>
    <w:rsid w:val="00675137"/>
    <w:rsid w:val="00696C56"/>
    <w:rsid w:val="006E213E"/>
    <w:rsid w:val="006F1D88"/>
    <w:rsid w:val="007639A2"/>
    <w:rsid w:val="00767FF8"/>
    <w:rsid w:val="007728F8"/>
    <w:rsid w:val="0079536D"/>
    <w:rsid w:val="007A5D91"/>
    <w:rsid w:val="007C6765"/>
    <w:rsid w:val="007F3519"/>
    <w:rsid w:val="00895769"/>
    <w:rsid w:val="008A4CAB"/>
    <w:rsid w:val="008C7E14"/>
    <w:rsid w:val="008D7E97"/>
    <w:rsid w:val="009006FC"/>
    <w:rsid w:val="009070B4"/>
    <w:rsid w:val="009271AC"/>
    <w:rsid w:val="00935FCE"/>
    <w:rsid w:val="009369E8"/>
    <w:rsid w:val="00937EA4"/>
    <w:rsid w:val="00957425"/>
    <w:rsid w:val="009617C0"/>
    <w:rsid w:val="00970669"/>
    <w:rsid w:val="009769E7"/>
    <w:rsid w:val="00985F88"/>
    <w:rsid w:val="009A6F4C"/>
    <w:rsid w:val="009B1742"/>
    <w:rsid w:val="009F709F"/>
    <w:rsid w:val="00A168BE"/>
    <w:rsid w:val="00A1734B"/>
    <w:rsid w:val="00A30910"/>
    <w:rsid w:val="00A52F89"/>
    <w:rsid w:val="00A62287"/>
    <w:rsid w:val="00A642F1"/>
    <w:rsid w:val="00A75182"/>
    <w:rsid w:val="00A91BB3"/>
    <w:rsid w:val="00A93B74"/>
    <w:rsid w:val="00B12D34"/>
    <w:rsid w:val="00B335BB"/>
    <w:rsid w:val="00B374C1"/>
    <w:rsid w:val="00B4729B"/>
    <w:rsid w:val="00B873BD"/>
    <w:rsid w:val="00BC03D2"/>
    <w:rsid w:val="00BC5FD7"/>
    <w:rsid w:val="00C07F8C"/>
    <w:rsid w:val="00C12ECA"/>
    <w:rsid w:val="00C136C4"/>
    <w:rsid w:val="00C149E6"/>
    <w:rsid w:val="00C319BF"/>
    <w:rsid w:val="00C330DE"/>
    <w:rsid w:val="00C37ED6"/>
    <w:rsid w:val="00C46425"/>
    <w:rsid w:val="00C678DA"/>
    <w:rsid w:val="00C70B94"/>
    <w:rsid w:val="00C7362F"/>
    <w:rsid w:val="00C85FCD"/>
    <w:rsid w:val="00CA6095"/>
    <w:rsid w:val="00CC113C"/>
    <w:rsid w:val="00CD18F5"/>
    <w:rsid w:val="00CE40AC"/>
    <w:rsid w:val="00D132BD"/>
    <w:rsid w:val="00D376DF"/>
    <w:rsid w:val="00E30347"/>
    <w:rsid w:val="00E336C1"/>
    <w:rsid w:val="00E36884"/>
    <w:rsid w:val="00E426F2"/>
    <w:rsid w:val="00E439DC"/>
    <w:rsid w:val="00E96105"/>
    <w:rsid w:val="00EA2D36"/>
    <w:rsid w:val="00F04F9B"/>
    <w:rsid w:val="00F076A6"/>
    <w:rsid w:val="00F161D7"/>
    <w:rsid w:val="00F24ED8"/>
    <w:rsid w:val="00F37313"/>
    <w:rsid w:val="00F614CE"/>
    <w:rsid w:val="00F73445"/>
    <w:rsid w:val="00F76CB2"/>
    <w:rsid w:val="00F94087"/>
    <w:rsid w:val="00FA0719"/>
    <w:rsid w:val="00FA12C0"/>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Pages>
  <Words>1143</Words>
  <Characters>6265</Characters>
  <Application>Microsoft Office Word</Application>
  <DocSecurity>0</DocSecurity>
  <Lines>101</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4</cp:revision>
  <dcterms:created xsi:type="dcterms:W3CDTF">2025-11-18T17:05:00Z</dcterms:created>
  <dcterms:modified xsi:type="dcterms:W3CDTF">2025-11-18T18:02:00Z</dcterms:modified>
</cp:coreProperties>
</file>