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 xml:space="preserve">Willow (T1) – Re-pollard back to established pruning points (2019) around 3-4m regrowth to maintain existing pollard framework in line with routine cyclical maintenance. 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  <w:br/>
              <w:t>Poplar (T2) - Re-pollard back to established pruning points (2019) around 4-5m regrowth to maintain existing pollard framework in line with routine cyclical maintenance.</w:t>
              <w:br/>
              <w:t>Trees subject to TPO 1810.</w:t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20 Stakes Road, Waterlooville, PO7 5LX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APP/25/00882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Monfared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12/12/2025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22/12/2025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Purbrook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20 Stakes Road, Waterlooville, PO7 5LX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 xml:space="preserve">Willow (T1) – Re-pollard back to established pruning points (2019) around 3-4m regrowth to maintain existing pollard framework in line with routine cyclical maintenance. 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  <w:br/>
        <w:t>Poplar (T2) - Re-pollard back to established pruning points (2019) around 4-5m regrowth to maintain existing pollard framework in line with routine cyclical maintenance.</w:t>
        <w:br/>
        <w:t>Trees subject to TPO 1810.</w:t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10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altChunk r:id="rId9"/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APP/25/00882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salesforceId:38d462fe-a7d3-431d-b618-bfe68e8defab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069Sl00000P7AMAIA3</vt:lpwstr>
  </op:property>
</op:Properties>
</file>