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873C99" w14:textId="77777777" w:rsidR="00991CE9" w:rsidRPr="003F4FB2" w:rsidRDefault="00991CE9" w:rsidP="00991CE9">
      <w:pPr>
        <w:rPr>
          <w:rFonts w:eastAsia="Times New Roman" w:cstheme="minorHAnsi"/>
          <w:b/>
          <w:bCs/>
          <w:sz w:val="22"/>
          <w:szCs w:val="22"/>
          <w:lang w:eastAsia="en-GB"/>
        </w:rPr>
      </w:pPr>
      <w:r w:rsidRPr="003F4FB2">
        <w:rPr>
          <w:rFonts w:cstheme="minorHAnsi"/>
          <w:b/>
          <w:bCs/>
          <w:sz w:val="22"/>
          <w:szCs w:val="22"/>
        </w:rPr>
        <w:t>Heritage statement for T</w:t>
      </w:r>
      <w:r w:rsidRPr="003F4FB2">
        <w:rPr>
          <w:rFonts w:eastAsia="Times New Roman" w:cstheme="minorHAnsi"/>
          <w:b/>
          <w:bCs/>
          <w:color w:val="000000"/>
          <w:sz w:val="22"/>
          <w:szCs w:val="22"/>
          <w:lang w:eastAsia="en-GB"/>
        </w:rPr>
        <w:t>wo storey side extension to provide annex accommodation</w:t>
      </w:r>
      <w:r w:rsidRPr="003F4FB2">
        <w:rPr>
          <w:rFonts w:eastAsia="Times New Roman" w:cstheme="minorHAnsi"/>
          <w:b/>
          <w:bCs/>
          <w:color w:val="000000"/>
          <w:sz w:val="22"/>
          <w:szCs w:val="22"/>
          <w:lang w:eastAsia="en-GB"/>
        </w:rPr>
        <w:t xml:space="preserve"> at 108A London Road Widley Waterlooville PO7 5AA </w:t>
      </w:r>
      <w:r w:rsidRPr="003F4FB2">
        <w:rPr>
          <w:rFonts w:eastAsia="Times New Roman" w:cstheme="minorHAnsi"/>
          <w:b/>
          <w:bCs/>
          <w:color w:val="000000"/>
          <w:sz w:val="22"/>
          <w:szCs w:val="22"/>
          <w:lang w:eastAsia="en-GB"/>
        </w:rPr>
        <w:t>Case Reference: APP/25/00724</w:t>
      </w:r>
    </w:p>
    <w:p w14:paraId="275E4A50" w14:textId="02F5F893" w:rsidR="00991CE9" w:rsidRPr="003F4FB2" w:rsidRDefault="00991CE9" w:rsidP="00991CE9">
      <w:pPr>
        <w:rPr>
          <w:rFonts w:eastAsia="Times New Roman" w:cstheme="minorHAnsi"/>
          <w:color w:val="000000"/>
          <w:sz w:val="22"/>
          <w:szCs w:val="22"/>
          <w:lang w:eastAsia="en-GB"/>
        </w:rPr>
      </w:pPr>
    </w:p>
    <w:p w14:paraId="314DCEAF" w14:textId="731F00D0" w:rsidR="00991CE9" w:rsidRPr="003F4FB2" w:rsidRDefault="00991CE9" w:rsidP="00991CE9">
      <w:pPr>
        <w:rPr>
          <w:rFonts w:eastAsia="Times New Roman" w:cstheme="minorHAnsi"/>
          <w:b/>
          <w:bCs/>
          <w:color w:val="000000"/>
          <w:sz w:val="22"/>
          <w:szCs w:val="22"/>
          <w:lang w:eastAsia="en-GB"/>
        </w:rPr>
      </w:pPr>
      <w:r w:rsidRPr="003F4FB2">
        <w:rPr>
          <w:rFonts w:eastAsia="Times New Roman" w:cstheme="minorHAnsi"/>
          <w:b/>
          <w:bCs/>
          <w:color w:val="000000"/>
          <w:sz w:val="22"/>
          <w:szCs w:val="22"/>
          <w:lang w:eastAsia="en-GB"/>
        </w:rPr>
        <w:t>Background,</w:t>
      </w:r>
    </w:p>
    <w:p w14:paraId="076F2746" w14:textId="5B711CD1" w:rsidR="00991CE9" w:rsidRPr="003F4FB2" w:rsidRDefault="00991CE9" w:rsidP="00991CE9">
      <w:pPr>
        <w:rPr>
          <w:rFonts w:eastAsia="Times New Roman" w:cstheme="minorHAnsi"/>
          <w:color w:val="000000"/>
          <w:sz w:val="22"/>
          <w:szCs w:val="22"/>
          <w:lang w:eastAsia="en-GB"/>
        </w:rPr>
      </w:pPr>
      <w:r w:rsidRPr="003F4FB2">
        <w:rPr>
          <w:rFonts w:eastAsia="Times New Roman" w:cstheme="minorHAnsi"/>
          <w:color w:val="000000"/>
          <w:sz w:val="22"/>
          <w:szCs w:val="22"/>
          <w:lang w:eastAsia="en-GB"/>
        </w:rPr>
        <w:t>The proposed property is on London Road in Widley Waterloovill</w:t>
      </w:r>
      <w:r w:rsidR="00F10F5F" w:rsidRPr="003F4FB2">
        <w:rPr>
          <w:rFonts w:eastAsia="Times New Roman" w:cstheme="minorHAnsi"/>
          <w:color w:val="000000"/>
          <w:sz w:val="22"/>
          <w:szCs w:val="22"/>
          <w:lang w:eastAsia="en-GB"/>
        </w:rPr>
        <w:t>e</w:t>
      </w:r>
      <w:r w:rsidRPr="003F4FB2">
        <w:rPr>
          <w:rFonts w:eastAsia="Times New Roman" w:cstheme="minorHAnsi"/>
          <w:color w:val="000000"/>
          <w:sz w:val="22"/>
          <w:szCs w:val="22"/>
          <w:lang w:eastAsia="en-GB"/>
        </w:rPr>
        <w:t xml:space="preserve">, to the </w:t>
      </w:r>
    </w:p>
    <w:p w14:paraId="1CC08AE9" w14:textId="77532DB2" w:rsidR="00F10F5F" w:rsidRPr="003F4FB2" w:rsidRDefault="00F10F5F" w:rsidP="00991CE9">
      <w:pPr>
        <w:rPr>
          <w:rFonts w:eastAsia="Times New Roman" w:cstheme="minorHAnsi"/>
          <w:color w:val="000000"/>
          <w:sz w:val="22"/>
          <w:szCs w:val="22"/>
          <w:lang w:eastAsia="en-GB"/>
        </w:rPr>
      </w:pPr>
      <w:r w:rsidRPr="003F4FB2">
        <w:rPr>
          <w:rFonts w:eastAsia="Times New Roman" w:cstheme="minorHAnsi"/>
          <w:color w:val="000000"/>
          <w:sz w:val="22"/>
          <w:szCs w:val="22"/>
          <w:lang w:eastAsia="en-GB"/>
        </w:rPr>
        <w:t>South of the property is open allotment land and to the north of the property is a grade 2 listed building as below.</w:t>
      </w:r>
    </w:p>
    <w:p w14:paraId="4D0CECB1" w14:textId="77777777" w:rsidR="00F10F5F" w:rsidRPr="003F4FB2" w:rsidRDefault="00F10F5F" w:rsidP="00991CE9">
      <w:pPr>
        <w:rPr>
          <w:rFonts w:eastAsia="Times New Roman" w:cstheme="minorHAnsi"/>
          <w:color w:val="000000"/>
          <w:sz w:val="22"/>
          <w:szCs w:val="22"/>
          <w:lang w:eastAsia="en-GB"/>
        </w:rPr>
      </w:pPr>
    </w:p>
    <w:p w14:paraId="622F9234" w14:textId="77777777" w:rsidR="00F10F5F" w:rsidRPr="003F4FB2" w:rsidRDefault="00F10F5F" w:rsidP="00991CE9">
      <w:pPr>
        <w:rPr>
          <w:rFonts w:eastAsia="Times New Roman" w:cstheme="minorHAnsi"/>
          <w:color w:val="000000"/>
          <w:sz w:val="22"/>
          <w:szCs w:val="22"/>
          <w:lang w:eastAsia="en-GB"/>
        </w:rPr>
      </w:pPr>
      <w:r w:rsidRPr="003F4FB2">
        <w:rPr>
          <w:rFonts w:eastAsia="Times New Roman" w:cstheme="minorHAnsi"/>
          <w:color w:val="000000"/>
          <w:sz w:val="22"/>
          <w:szCs w:val="22"/>
          <w:lang w:eastAsia="en-GB"/>
        </w:rPr>
        <w:t xml:space="preserve">Listing entry number 1092124 </w:t>
      </w:r>
    </w:p>
    <w:p w14:paraId="7E969B1D" w14:textId="3FAD2711" w:rsidR="00F10F5F" w:rsidRPr="003F4FB2" w:rsidRDefault="00F10F5F" w:rsidP="00991CE9">
      <w:pPr>
        <w:rPr>
          <w:rFonts w:eastAsia="Times New Roman" w:cstheme="minorHAnsi"/>
          <w:color w:val="000000"/>
          <w:sz w:val="22"/>
          <w:szCs w:val="22"/>
          <w:lang w:eastAsia="en-GB"/>
        </w:rPr>
      </w:pPr>
      <w:r w:rsidRPr="003F4FB2">
        <w:rPr>
          <w:rFonts w:eastAsia="Times New Roman" w:cstheme="minorHAnsi"/>
          <w:color w:val="000000"/>
          <w:sz w:val="22"/>
          <w:szCs w:val="22"/>
          <w:lang w:eastAsia="en-GB"/>
        </w:rPr>
        <w:t xml:space="preserve">Listing Entry name The </w:t>
      </w:r>
      <w:r w:rsidR="003F4FB2">
        <w:rPr>
          <w:rFonts w:eastAsia="Times New Roman" w:cstheme="minorHAnsi"/>
          <w:color w:val="000000"/>
          <w:sz w:val="22"/>
          <w:szCs w:val="22"/>
          <w:lang w:eastAsia="en-GB"/>
        </w:rPr>
        <w:t>O</w:t>
      </w:r>
      <w:r w:rsidRPr="003F4FB2">
        <w:rPr>
          <w:rFonts w:eastAsia="Times New Roman" w:cstheme="minorHAnsi"/>
          <w:color w:val="000000"/>
          <w:sz w:val="22"/>
          <w:szCs w:val="22"/>
          <w:lang w:eastAsia="en-GB"/>
        </w:rPr>
        <w:t>ld Rectory</w:t>
      </w:r>
    </w:p>
    <w:p w14:paraId="2768DEFE" w14:textId="1E095235" w:rsidR="00F10F5F" w:rsidRPr="003F4FB2" w:rsidRDefault="00F10F5F" w:rsidP="00991CE9">
      <w:pPr>
        <w:rPr>
          <w:rFonts w:eastAsia="Times New Roman" w:cstheme="minorHAnsi"/>
          <w:color w:val="000000"/>
          <w:sz w:val="22"/>
          <w:szCs w:val="22"/>
          <w:lang w:eastAsia="en-GB"/>
        </w:rPr>
      </w:pPr>
      <w:r w:rsidRPr="003F4FB2">
        <w:rPr>
          <w:rFonts w:eastAsia="Times New Roman" w:cstheme="minorHAnsi"/>
          <w:color w:val="000000"/>
          <w:sz w:val="22"/>
          <w:szCs w:val="22"/>
          <w:lang w:eastAsia="en-GB"/>
        </w:rPr>
        <w:t>Statutory address The Old Rectory 108 London Road</w:t>
      </w:r>
    </w:p>
    <w:p w14:paraId="66A373D3" w14:textId="134F7075" w:rsidR="00F10F5F" w:rsidRPr="003F4FB2" w:rsidRDefault="00F10F5F" w:rsidP="00991CE9">
      <w:pPr>
        <w:rPr>
          <w:rFonts w:eastAsia="Times New Roman" w:cstheme="minorHAnsi"/>
          <w:color w:val="000000"/>
          <w:sz w:val="22"/>
          <w:szCs w:val="22"/>
          <w:lang w:eastAsia="en-GB"/>
        </w:rPr>
      </w:pPr>
      <w:r w:rsidRPr="003F4FB2">
        <w:rPr>
          <w:rFonts w:eastAsia="Times New Roman" w:cstheme="minorHAnsi"/>
          <w:color w:val="000000"/>
          <w:sz w:val="22"/>
          <w:szCs w:val="22"/>
          <w:lang w:eastAsia="en-GB"/>
        </w:rPr>
        <w:t>Listing date 14/1/1986</w:t>
      </w:r>
    </w:p>
    <w:p w14:paraId="6999FA83" w14:textId="274633F8" w:rsidR="00F10F5F" w:rsidRPr="003F4FB2" w:rsidRDefault="00F10F5F" w:rsidP="00991CE9">
      <w:pPr>
        <w:rPr>
          <w:rFonts w:eastAsia="Times New Roman" w:cstheme="minorHAnsi"/>
          <w:color w:val="000000"/>
          <w:sz w:val="22"/>
          <w:szCs w:val="22"/>
          <w:lang w:eastAsia="en-GB"/>
        </w:rPr>
      </w:pPr>
    </w:p>
    <w:p w14:paraId="4B447581" w14:textId="1C2AC39C" w:rsidR="003F4FB2" w:rsidRPr="008C2609" w:rsidRDefault="003F4FB2" w:rsidP="00991CE9">
      <w:pPr>
        <w:rPr>
          <w:rFonts w:eastAsia="Times New Roman" w:cstheme="minorHAnsi"/>
          <w:b/>
          <w:bCs/>
          <w:color w:val="000000"/>
          <w:sz w:val="22"/>
          <w:szCs w:val="22"/>
          <w:lang w:eastAsia="en-GB"/>
        </w:rPr>
      </w:pPr>
      <w:r w:rsidRPr="008C2609">
        <w:rPr>
          <w:rFonts w:eastAsia="Times New Roman" w:cstheme="minorHAnsi"/>
          <w:b/>
          <w:bCs/>
          <w:color w:val="000000"/>
          <w:sz w:val="22"/>
          <w:szCs w:val="22"/>
          <w:lang w:eastAsia="en-GB"/>
        </w:rPr>
        <w:t xml:space="preserve">The Listing states </w:t>
      </w:r>
    </w:p>
    <w:p w14:paraId="3019E975" w14:textId="70C0974E" w:rsidR="003F4FB2" w:rsidRDefault="003F4FB2" w:rsidP="003F4FB2">
      <w:pPr>
        <w:rPr>
          <w:rFonts w:eastAsia="Times New Roman" w:cstheme="minorHAnsi"/>
          <w:sz w:val="22"/>
          <w:szCs w:val="22"/>
          <w:lang w:eastAsia="en-GB"/>
        </w:rPr>
      </w:pPr>
      <w:r w:rsidRPr="003F4FB2">
        <w:rPr>
          <w:rFonts w:eastAsia="Times New Roman" w:cstheme="minorHAnsi"/>
          <w:sz w:val="22"/>
          <w:szCs w:val="22"/>
          <w:lang w:eastAsia="en-GB"/>
        </w:rPr>
        <w:t>House. Of mid C18 origin, enlarged early and late C19. Painted brick walls</w:t>
      </w:r>
      <w:r w:rsidRPr="003F4FB2">
        <w:rPr>
          <w:rFonts w:eastAsia="Times New Roman" w:cstheme="minorHAnsi"/>
          <w:sz w:val="22"/>
          <w:szCs w:val="22"/>
          <w:lang w:eastAsia="en-GB"/>
        </w:rPr>
        <w:br/>
        <w:t>of header bond with later Flemish bond, other walling rendered. Tiled roof</w:t>
      </w:r>
      <w:r w:rsidRPr="003F4FB2">
        <w:rPr>
          <w:rFonts w:eastAsia="Times New Roman" w:cstheme="minorHAnsi"/>
          <w:sz w:val="22"/>
          <w:szCs w:val="22"/>
          <w:lang w:eastAsia="en-GB"/>
        </w:rPr>
        <w:br/>
        <w:t>of double pile brick dentil eaves. 2 storeys. This small house with a</w:t>
      </w:r>
      <w:r w:rsidRPr="003F4FB2">
        <w:rPr>
          <w:rFonts w:eastAsia="Times New Roman" w:cstheme="minorHAnsi"/>
          <w:sz w:val="22"/>
          <w:szCs w:val="22"/>
          <w:lang w:eastAsia="en-GB"/>
        </w:rPr>
        <w:br/>
        <w:t>symmetrical front was widened and extended at the rear in two phases. North</w:t>
      </w:r>
      <w:r w:rsidRPr="003F4FB2">
        <w:rPr>
          <w:rFonts w:eastAsia="Times New Roman" w:cstheme="minorHAnsi"/>
          <w:sz w:val="22"/>
          <w:szCs w:val="22"/>
          <w:lang w:eastAsia="en-GB"/>
        </w:rPr>
        <w:br/>
        <w:t>front elevation has 3 windows. Casements mostly of the early C19 with reeded</w:t>
      </w:r>
      <w:r w:rsidRPr="003F4FB2">
        <w:rPr>
          <w:rFonts w:eastAsia="Times New Roman" w:cstheme="minorHAnsi"/>
          <w:sz w:val="22"/>
          <w:szCs w:val="22"/>
          <w:lang w:eastAsia="en-GB"/>
        </w:rPr>
        <w:br/>
        <w:t>frames and some cambered openings. 1st floor band and plinth. Late C18 doorcase</w:t>
      </w:r>
      <w:r w:rsidRPr="003F4FB2">
        <w:rPr>
          <w:rFonts w:eastAsia="Times New Roman" w:cstheme="minorHAnsi"/>
          <w:sz w:val="22"/>
          <w:szCs w:val="22"/>
          <w:lang w:eastAsia="en-GB"/>
        </w:rPr>
        <w:br/>
        <w:t>(replaced from its original position) open pediment with modillion cornice, half round</w:t>
      </w:r>
      <w:r w:rsidRPr="003F4FB2">
        <w:rPr>
          <w:rFonts w:eastAsia="Times New Roman" w:cstheme="minorHAnsi"/>
          <w:sz w:val="22"/>
          <w:szCs w:val="22"/>
          <w:lang w:eastAsia="en-GB"/>
        </w:rPr>
        <w:br/>
        <w:t xml:space="preserve">reeded Doric columns, arched opening with radiating fanlight and 6 panelled </w:t>
      </w:r>
      <w:proofErr w:type="gramStart"/>
      <w:r w:rsidRPr="003F4FB2">
        <w:rPr>
          <w:rFonts w:eastAsia="Times New Roman" w:cstheme="minorHAnsi"/>
          <w:sz w:val="22"/>
          <w:szCs w:val="22"/>
          <w:lang w:eastAsia="en-GB"/>
        </w:rPr>
        <w:t>door</w:t>
      </w:r>
      <w:proofErr w:type="gramEnd"/>
      <w:r w:rsidRPr="003F4FB2">
        <w:rPr>
          <w:rFonts w:eastAsia="Times New Roman" w:cstheme="minorHAnsi"/>
          <w:sz w:val="22"/>
          <w:szCs w:val="22"/>
          <w:lang w:eastAsia="en-GB"/>
        </w:rPr>
        <w:t>.</w:t>
      </w:r>
    </w:p>
    <w:p w14:paraId="27798D43" w14:textId="7D2D1BFA" w:rsidR="003F4FB2" w:rsidRDefault="003F4FB2" w:rsidP="003F4FB2">
      <w:pPr>
        <w:rPr>
          <w:rFonts w:eastAsia="Times New Roman" w:cstheme="minorHAnsi"/>
          <w:sz w:val="22"/>
          <w:szCs w:val="22"/>
          <w:lang w:eastAsia="en-GB"/>
        </w:rPr>
      </w:pPr>
    </w:p>
    <w:p w14:paraId="46974174" w14:textId="2CC9014D" w:rsidR="003F4FB2" w:rsidRPr="008C2609" w:rsidRDefault="003F4FB2" w:rsidP="003F4FB2">
      <w:pPr>
        <w:rPr>
          <w:rFonts w:eastAsia="Times New Roman" w:cstheme="minorHAnsi"/>
          <w:b/>
          <w:bCs/>
          <w:sz w:val="22"/>
          <w:szCs w:val="22"/>
          <w:lang w:eastAsia="en-GB"/>
        </w:rPr>
      </w:pPr>
      <w:r w:rsidRPr="008C2609">
        <w:rPr>
          <w:rFonts w:eastAsia="Times New Roman" w:cstheme="minorHAnsi"/>
          <w:b/>
          <w:bCs/>
          <w:sz w:val="22"/>
          <w:szCs w:val="22"/>
          <w:lang w:eastAsia="en-GB"/>
        </w:rPr>
        <w:t>The Proposal</w:t>
      </w:r>
    </w:p>
    <w:p w14:paraId="3643BFFD" w14:textId="5FE9C593" w:rsidR="003F4FB2" w:rsidRDefault="003F4FB2" w:rsidP="003F4FB2">
      <w:pPr>
        <w:rPr>
          <w:rFonts w:eastAsia="Times New Roman" w:cstheme="minorHAnsi"/>
          <w:sz w:val="22"/>
          <w:szCs w:val="22"/>
          <w:lang w:eastAsia="en-GB"/>
        </w:rPr>
      </w:pPr>
      <w:r>
        <w:rPr>
          <w:rFonts w:eastAsia="Times New Roman" w:cstheme="minorHAnsi"/>
          <w:sz w:val="22"/>
          <w:szCs w:val="22"/>
          <w:lang w:eastAsia="en-GB"/>
        </w:rPr>
        <w:t>The proposed side extension has been designed to ensure no increased impact on the listed asset,</w:t>
      </w:r>
    </w:p>
    <w:p w14:paraId="0C6E5694" w14:textId="7FFC1593" w:rsidR="008C2609" w:rsidRDefault="003F4FB2" w:rsidP="003F4FB2">
      <w:pPr>
        <w:rPr>
          <w:rFonts w:eastAsia="Times New Roman" w:cstheme="minorHAnsi"/>
          <w:sz w:val="22"/>
          <w:szCs w:val="22"/>
          <w:lang w:eastAsia="en-GB"/>
        </w:rPr>
      </w:pPr>
      <w:r>
        <w:rPr>
          <w:rFonts w:eastAsia="Times New Roman" w:cstheme="minorHAnsi"/>
          <w:sz w:val="22"/>
          <w:szCs w:val="22"/>
          <w:lang w:eastAsia="en-GB"/>
        </w:rPr>
        <w:t xml:space="preserve">The extension is fully on the south side of the house and does not exceed the profile of the existing building in any way, it is not deeper to the rear or extend further to the road </w:t>
      </w:r>
      <w:r w:rsidR="00C95404">
        <w:rPr>
          <w:rFonts w:eastAsia="Times New Roman" w:cstheme="minorHAnsi"/>
          <w:sz w:val="22"/>
          <w:szCs w:val="22"/>
          <w:lang w:eastAsia="en-GB"/>
        </w:rPr>
        <w:t>in any way and is no higher than the existing building. The 13.7m gap between the buildings is fully retained as is the extensive planting between the properties</w:t>
      </w:r>
      <w:r w:rsidR="00561EA8">
        <w:rPr>
          <w:rFonts w:eastAsia="Times New Roman" w:cstheme="minorHAnsi"/>
          <w:sz w:val="22"/>
          <w:szCs w:val="22"/>
          <w:lang w:eastAsia="en-GB"/>
        </w:rPr>
        <w:t xml:space="preserve"> to the front and rear</w:t>
      </w:r>
      <w:r w:rsidR="00C95404">
        <w:rPr>
          <w:rFonts w:eastAsia="Times New Roman" w:cstheme="minorHAnsi"/>
          <w:sz w:val="22"/>
          <w:szCs w:val="22"/>
          <w:lang w:eastAsia="en-GB"/>
        </w:rPr>
        <w:t xml:space="preserve"> as shown</w:t>
      </w:r>
      <w:r w:rsidR="00561EA8">
        <w:rPr>
          <w:rFonts w:eastAsia="Times New Roman" w:cstheme="minorHAnsi"/>
          <w:sz w:val="22"/>
          <w:szCs w:val="22"/>
          <w:lang w:eastAsia="en-GB"/>
        </w:rPr>
        <w:t xml:space="preserve"> in the two images</w:t>
      </w:r>
      <w:r w:rsidR="00C95404">
        <w:rPr>
          <w:rFonts w:eastAsia="Times New Roman" w:cstheme="minorHAnsi"/>
          <w:sz w:val="22"/>
          <w:szCs w:val="22"/>
          <w:lang w:eastAsia="en-GB"/>
        </w:rPr>
        <w:t xml:space="preserve"> below</w:t>
      </w:r>
    </w:p>
    <w:p w14:paraId="04D49B62" w14:textId="77777777" w:rsidR="008C2609" w:rsidRDefault="008C2609" w:rsidP="003F4FB2">
      <w:pPr>
        <w:rPr>
          <w:rFonts w:eastAsia="Times New Roman" w:cstheme="minorHAnsi"/>
          <w:sz w:val="22"/>
          <w:szCs w:val="22"/>
          <w:lang w:eastAsia="en-GB"/>
        </w:rPr>
      </w:pPr>
    </w:p>
    <w:p w14:paraId="264D80EE" w14:textId="00EFD942" w:rsidR="003F4FB2" w:rsidRDefault="00C95404" w:rsidP="003F4FB2">
      <w:pPr>
        <w:rPr>
          <w:rFonts w:eastAsia="Times New Roman" w:cstheme="minorHAnsi"/>
          <w:sz w:val="22"/>
          <w:szCs w:val="22"/>
          <w:lang w:eastAsia="en-GB"/>
        </w:rPr>
      </w:pPr>
      <w:r>
        <w:rPr>
          <w:rFonts w:eastAsia="Times New Roman" w:cstheme="minorHAnsi"/>
          <w:noProof/>
          <w:sz w:val="22"/>
          <w:szCs w:val="22"/>
          <w:lang w:eastAsia="en-GB"/>
        </w:rPr>
        <w:drawing>
          <wp:inline distT="0" distB="0" distL="0" distR="0" wp14:anchorId="28F5E3CD" wp14:editId="054C67A3">
            <wp:extent cx="5535833" cy="3352800"/>
            <wp:effectExtent l="0" t="0" r="1905" b="0"/>
            <wp:docPr id="1" name="Picture 1" descr="A street with a house and tre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street with a house and trees&#10;&#10;Description automatically generated"/>
                    <pic:cNvPicPr/>
                  </pic:nvPicPr>
                  <pic:blipFill>
                    <a:blip r:embed="rId4" cstate="print">
                      <a:extLst>
                        <a:ext uri="{28A0092B-C50C-407E-A947-70E740481C1C}">
                          <a14:useLocalDpi xmlns:a14="http://schemas.microsoft.com/office/drawing/2010/main" val="0"/>
                        </a:ext>
                      </a:extLst>
                    </a:blip>
                    <a:stretch>
                      <a:fillRect/>
                    </a:stretch>
                  </pic:blipFill>
                  <pic:spPr>
                    <a:xfrm>
                      <a:off x="0" y="0"/>
                      <a:ext cx="5568952" cy="3372859"/>
                    </a:xfrm>
                    <a:prstGeom prst="rect">
                      <a:avLst/>
                    </a:prstGeom>
                  </pic:spPr>
                </pic:pic>
              </a:graphicData>
            </a:graphic>
          </wp:inline>
        </w:drawing>
      </w:r>
    </w:p>
    <w:p w14:paraId="08F10DE3" w14:textId="22AE6E65" w:rsidR="00561EA8" w:rsidRDefault="00561EA8" w:rsidP="003F4FB2">
      <w:pPr>
        <w:rPr>
          <w:rFonts w:eastAsia="Times New Roman" w:cstheme="minorHAnsi"/>
          <w:sz w:val="22"/>
          <w:szCs w:val="22"/>
          <w:lang w:eastAsia="en-GB"/>
        </w:rPr>
      </w:pPr>
    </w:p>
    <w:p w14:paraId="18CDE39F" w14:textId="2DA216D1" w:rsidR="00561EA8" w:rsidRDefault="00561EA8" w:rsidP="003F4FB2">
      <w:pPr>
        <w:rPr>
          <w:rFonts w:eastAsia="Times New Roman" w:cstheme="minorHAnsi"/>
          <w:sz w:val="22"/>
          <w:szCs w:val="22"/>
          <w:lang w:eastAsia="en-GB"/>
        </w:rPr>
      </w:pPr>
    </w:p>
    <w:p w14:paraId="3E52116A" w14:textId="6D72DFE7" w:rsidR="00561EA8" w:rsidRDefault="00561EA8" w:rsidP="003F4FB2">
      <w:pPr>
        <w:rPr>
          <w:rFonts w:eastAsia="Times New Roman" w:cstheme="minorHAnsi"/>
          <w:sz w:val="22"/>
          <w:szCs w:val="22"/>
          <w:lang w:eastAsia="en-GB"/>
        </w:rPr>
      </w:pPr>
    </w:p>
    <w:p w14:paraId="2084D8DE" w14:textId="138AD415" w:rsidR="00561EA8" w:rsidRPr="003F4FB2" w:rsidRDefault="00561EA8" w:rsidP="003F4FB2">
      <w:pPr>
        <w:rPr>
          <w:rFonts w:eastAsia="Times New Roman" w:cstheme="minorHAnsi"/>
          <w:sz w:val="22"/>
          <w:szCs w:val="22"/>
          <w:lang w:eastAsia="en-GB"/>
        </w:rPr>
      </w:pPr>
      <w:r>
        <w:rPr>
          <w:rFonts w:eastAsia="Times New Roman" w:cstheme="minorHAnsi"/>
          <w:noProof/>
          <w:sz w:val="22"/>
          <w:szCs w:val="22"/>
          <w:lang w:eastAsia="en-GB"/>
        </w:rPr>
        <w:drawing>
          <wp:inline distT="0" distB="0" distL="0" distR="0" wp14:anchorId="4FF6DEAD" wp14:editId="0A4F5334">
            <wp:extent cx="5727700" cy="4150995"/>
            <wp:effectExtent l="0" t="0" r="0" b="1905"/>
            <wp:docPr id="2" name="Picture 2" descr="A aerial view of a neighborhoo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aerial view of a neighborhood&#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5727700" cy="4150995"/>
                    </a:xfrm>
                    <a:prstGeom prst="rect">
                      <a:avLst/>
                    </a:prstGeom>
                  </pic:spPr>
                </pic:pic>
              </a:graphicData>
            </a:graphic>
          </wp:inline>
        </w:drawing>
      </w:r>
    </w:p>
    <w:p w14:paraId="0E112F78" w14:textId="77777777" w:rsidR="003F4FB2" w:rsidRDefault="003F4FB2" w:rsidP="00991CE9">
      <w:pPr>
        <w:rPr>
          <w:rFonts w:ascii="Arial" w:eastAsia="Times New Roman" w:hAnsi="Arial" w:cs="Arial"/>
          <w:color w:val="000000"/>
          <w:sz w:val="21"/>
          <w:szCs w:val="21"/>
          <w:lang w:eastAsia="en-GB"/>
        </w:rPr>
      </w:pPr>
    </w:p>
    <w:p w14:paraId="7C2605C0" w14:textId="67B7E840" w:rsidR="00F10F5F" w:rsidRDefault="00F10F5F" w:rsidP="00991CE9">
      <w:pPr>
        <w:rPr>
          <w:rFonts w:ascii="Arial" w:eastAsia="Times New Roman" w:hAnsi="Arial" w:cs="Arial"/>
          <w:color w:val="000000"/>
          <w:sz w:val="21"/>
          <w:szCs w:val="21"/>
          <w:lang w:eastAsia="en-GB"/>
        </w:rPr>
      </w:pPr>
    </w:p>
    <w:p w14:paraId="1AFCF607" w14:textId="0DA55E1E" w:rsidR="008C2609" w:rsidRDefault="00561EA8" w:rsidP="00991CE9">
      <w:pPr>
        <w:rPr>
          <w:rFonts w:ascii="Arial" w:eastAsia="Times New Roman" w:hAnsi="Arial" w:cs="Arial"/>
          <w:color w:val="000000"/>
          <w:sz w:val="21"/>
          <w:szCs w:val="21"/>
          <w:lang w:eastAsia="en-GB"/>
        </w:rPr>
      </w:pPr>
      <w:r>
        <w:rPr>
          <w:rFonts w:ascii="Arial" w:eastAsia="Times New Roman" w:hAnsi="Arial" w:cs="Arial"/>
          <w:color w:val="000000"/>
          <w:sz w:val="21"/>
          <w:szCs w:val="21"/>
          <w:lang w:eastAsia="en-GB"/>
        </w:rPr>
        <w:t xml:space="preserve">In terms of scale the proposed extension would still make the </w:t>
      </w:r>
      <w:r w:rsidR="008C2609">
        <w:rPr>
          <w:rFonts w:ascii="Arial" w:eastAsia="Times New Roman" w:hAnsi="Arial" w:cs="Arial"/>
          <w:color w:val="000000"/>
          <w:sz w:val="21"/>
          <w:szCs w:val="21"/>
          <w:lang w:eastAsia="en-GB"/>
        </w:rPr>
        <w:t>listed building footprint almost twice the size of the extended building. The materials of the extension match exactly the existing buildings materials which were chosen to be sympathetic to the heritage asset.</w:t>
      </w:r>
    </w:p>
    <w:p w14:paraId="35D0463A" w14:textId="1222DF36" w:rsidR="008C2609" w:rsidRDefault="008C2609" w:rsidP="00991CE9">
      <w:pPr>
        <w:rPr>
          <w:rFonts w:ascii="Arial" w:eastAsia="Times New Roman" w:hAnsi="Arial" w:cs="Arial"/>
          <w:color w:val="000000"/>
          <w:sz w:val="21"/>
          <w:szCs w:val="21"/>
          <w:lang w:eastAsia="en-GB"/>
        </w:rPr>
      </w:pPr>
    </w:p>
    <w:p w14:paraId="5ED9E0AC" w14:textId="1C18547B" w:rsidR="008C2609" w:rsidRPr="008C2609" w:rsidRDefault="008C2609" w:rsidP="00991CE9">
      <w:pPr>
        <w:rPr>
          <w:rFonts w:ascii="Arial" w:eastAsia="Times New Roman" w:hAnsi="Arial" w:cs="Arial"/>
          <w:b/>
          <w:bCs/>
          <w:color w:val="000000"/>
          <w:sz w:val="21"/>
          <w:szCs w:val="21"/>
          <w:lang w:eastAsia="en-GB"/>
        </w:rPr>
      </w:pPr>
      <w:r w:rsidRPr="008C2609">
        <w:rPr>
          <w:rFonts w:ascii="Arial" w:eastAsia="Times New Roman" w:hAnsi="Arial" w:cs="Arial"/>
          <w:b/>
          <w:bCs/>
          <w:color w:val="000000"/>
          <w:sz w:val="21"/>
          <w:szCs w:val="21"/>
          <w:lang w:eastAsia="en-GB"/>
        </w:rPr>
        <w:t>Conclusion</w:t>
      </w:r>
    </w:p>
    <w:p w14:paraId="6C6DB345" w14:textId="7557E2A5" w:rsidR="008C2609" w:rsidRDefault="008C2609" w:rsidP="00991CE9">
      <w:pPr>
        <w:rPr>
          <w:rFonts w:ascii="Arial" w:eastAsia="Times New Roman" w:hAnsi="Arial" w:cs="Arial"/>
          <w:color w:val="000000"/>
          <w:sz w:val="21"/>
          <w:szCs w:val="21"/>
          <w:lang w:eastAsia="en-GB"/>
        </w:rPr>
      </w:pPr>
      <w:r>
        <w:rPr>
          <w:rFonts w:ascii="Arial" w:eastAsia="Times New Roman" w:hAnsi="Arial" w:cs="Arial"/>
          <w:color w:val="000000"/>
          <w:sz w:val="21"/>
          <w:szCs w:val="21"/>
          <w:lang w:eastAsia="en-GB"/>
        </w:rPr>
        <w:t>Due to the points made above, we do not believe that the proposal would impact the Heritage asset in any way.</w:t>
      </w:r>
    </w:p>
    <w:p w14:paraId="607A6FDB" w14:textId="77777777" w:rsidR="00991CE9" w:rsidRPr="00991CE9" w:rsidRDefault="00991CE9" w:rsidP="00991CE9">
      <w:pPr>
        <w:rPr>
          <w:rFonts w:ascii="Times New Roman" w:eastAsia="Times New Roman" w:hAnsi="Times New Roman" w:cs="Times New Roman"/>
          <w:lang w:eastAsia="en-GB"/>
        </w:rPr>
      </w:pPr>
    </w:p>
    <w:p w14:paraId="4301B5D4" w14:textId="13D26585" w:rsidR="00AE06FD" w:rsidRDefault="00AE06FD"/>
    <w:p w14:paraId="51CFB27F" w14:textId="77777777" w:rsidR="00991CE9" w:rsidRDefault="00991CE9"/>
    <w:sectPr w:rsidR="00991CE9" w:rsidSect="00A97A12">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1CE9"/>
    <w:rsid w:val="0026003B"/>
    <w:rsid w:val="003F4FB2"/>
    <w:rsid w:val="00561EA8"/>
    <w:rsid w:val="007E04E7"/>
    <w:rsid w:val="008C2609"/>
    <w:rsid w:val="00991CE9"/>
    <w:rsid w:val="00A97A12"/>
    <w:rsid w:val="00AE06FD"/>
    <w:rsid w:val="00C95404"/>
    <w:rsid w:val="00F10F5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27BF57F"/>
  <w15:chartTrackingRefBased/>
  <w15:docId w15:val="{257BB68C-0EE3-4943-95D8-9AF631A55C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610905">
      <w:bodyDiv w:val="1"/>
      <w:marLeft w:val="0"/>
      <w:marRight w:val="0"/>
      <w:marTop w:val="0"/>
      <w:marBottom w:val="0"/>
      <w:divBdr>
        <w:top w:val="none" w:sz="0" w:space="0" w:color="auto"/>
        <w:left w:val="none" w:sz="0" w:space="0" w:color="auto"/>
        <w:bottom w:val="none" w:sz="0" w:space="0" w:color="auto"/>
        <w:right w:val="none" w:sz="0" w:space="0" w:color="auto"/>
      </w:divBdr>
    </w:div>
    <w:div w:id="732702419">
      <w:bodyDiv w:val="1"/>
      <w:marLeft w:val="0"/>
      <w:marRight w:val="0"/>
      <w:marTop w:val="0"/>
      <w:marBottom w:val="0"/>
      <w:divBdr>
        <w:top w:val="none" w:sz="0" w:space="0" w:color="auto"/>
        <w:left w:val="none" w:sz="0" w:space="0" w:color="auto"/>
        <w:bottom w:val="none" w:sz="0" w:space="0" w:color="auto"/>
        <w:right w:val="none" w:sz="0" w:space="0" w:color="auto"/>
      </w:divBdr>
    </w:div>
    <w:div w:id="1778327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2</Pages>
  <Words>307</Words>
  <Characters>1754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Murray</dc:creator>
  <cp:keywords/>
  <dc:description/>
  <cp:lastModifiedBy>Ian Murray</cp:lastModifiedBy>
  <cp:revision>1</cp:revision>
  <dcterms:created xsi:type="dcterms:W3CDTF">2025-12-03T14:59:00Z</dcterms:created>
  <dcterms:modified xsi:type="dcterms:W3CDTF">2025-12-03T15:29:00Z</dcterms:modified>
</cp:coreProperties>
</file>