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5"/>
        <w:gridCol w:w="1521"/>
        <w:gridCol w:w="5602"/>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3931D6A8" w:rsidR="00741821" w:rsidRPr="00B25729" w:rsidRDefault="00B0405F" w:rsidP="00741821">
            <w:pPr>
              <w:spacing w:line="276" w:lineRule="auto"/>
              <w:rPr>
                <w:rFonts w:ascii="Arial" w:hAnsi="Arial" w:cs="Arial"/>
              </w:rPr>
            </w:pPr>
            <w:r>
              <w:rPr>
                <w:rFonts w:ascii="Arial" w:hAnsi="Arial" w:cs="Arial"/>
              </w:rPr>
              <w:t>16/02/2026</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10012238" w:rsidR="00317486" w:rsidRPr="00B25729" w:rsidRDefault="00317486" w:rsidP="00741821">
            <w:pPr>
              <w:spacing w:line="276" w:lineRule="auto"/>
              <w:rPr>
                <w:rFonts w:ascii="Arial" w:hAnsi="Arial" w:cs="Arial"/>
              </w:rPr>
            </w:pP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5AE05277" w:rsidR="001071FC" w:rsidRPr="00B25729" w:rsidRDefault="00B0405F" w:rsidP="00741821">
            <w:pPr>
              <w:spacing w:line="276" w:lineRule="auto"/>
              <w:rPr>
                <w:rFonts w:ascii="Arial" w:hAnsi="Arial" w:cs="Arial"/>
              </w:rPr>
            </w:pPr>
            <w:r>
              <w:rPr>
                <w:rFonts w:ascii="Arial" w:hAnsi="Arial" w:cs="Arial"/>
              </w:rPr>
              <w:t>APP/25/01015</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7CC189E9" w:rsidR="00D873D9" w:rsidRPr="00B25729" w:rsidRDefault="00B0405F" w:rsidP="00741821">
            <w:pPr>
              <w:spacing w:line="276" w:lineRule="auto"/>
              <w:rPr>
                <w:rFonts w:ascii="Arial" w:hAnsi="Arial" w:cs="Arial"/>
              </w:rPr>
            </w:pPr>
            <w:r>
              <w:rPr>
                <w:rFonts w:ascii="Arial" w:hAnsi="Arial" w:cs="Arial"/>
              </w:rPr>
              <w:t>212-218 London Road, Waterlooville, PO7 7AJ</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451786E1" w14:textId="1F6BD1C1" w:rsidR="001071FC" w:rsidRPr="00787BCF" w:rsidRDefault="00A552B0" w:rsidP="005B3254">
            <w:pPr>
              <w:pStyle w:val="Normal0"/>
              <w:rPr>
                <w:sz w:val="22"/>
                <w:szCs w:val="22"/>
              </w:rPr>
            </w:pPr>
            <w:r w:rsidRPr="00A552B0">
              <w:rPr>
                <w:sz w:val="22"/>
                <w:szCs w:val="22"/>
              </w:rPr>
              <w:t>Part retention of ground floor commercial unit (Class E); conversion of remainder of ground floor and first floor to form 8 x 1 bed flats (Class C3); construction of 2nd floor with recessed 3rd floor mansard roof to form 12 bed Shared Living Property (HMO - Sui Generis); with associated parking, refuse and landscaping.</w:t>
            </w: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6C102B37" w:rsidR="00317486" w:rsidRPr="00B25729" w:rsidRDefault="00EC461B" w:rsidP="00741821">
            <w:pPr>
              <w:spacing w:line="276" w:lineRule="auto"/>
              <w:rPr>
                <w:rFonts w:ascii="Arial" w:hAnsi="Arial" w:cs="Arial"/>
              </w:rPr>
            </w:pPr>
            <w:r>
              <w:rPr>
                <w:rFonts w:ascii="Arial" w:hAnsi="Arial" w:cs="Arial"/>
              </w:rPr>
              <w:t xml:space="preserve">Tina Pickup </w:t>
            </w:r>
            <w:r w:rsidR="00130118">
              <w:rPr>
                <w:rFonts w:ascii="Arial" w:hAnsi="Arial" w:cs="Arial"/>
              </w:rPr>
              <w:t xml:space="preserve">– </w:t>
            </w:r>
            <w:r w:rsidR="00130118" w:rsidRPr="009A0137">
              <w:rPr>
                <w:rFonts w:ascii="Arial" w:hAnsi="Arial" w:cs="Arial"/>
                <w:i/>
                <w:iCs/>
                <w:sz w:val="22"/>
                <w:szCs w:val="22"/>
                <w:highlight w:val="yellow"/>
              </w:rPr>
              <w:t xml:space="preserve">Note – 2 separate nitrogen budgets prepared for the different </w:t>
            </w:r>
            <w:r w:rsidR="009A0137" w:rsidRPr="009A0137">
              <w:rPr>
                <w:rFonts w:ascii="Arial" w:hAnsi="Arial" w:cs="Arial"/>
                <w:i/>
                <w:iCs/>
                <w:sz w:val="22"/>
                <w:szCs w:val="22"/>
                <w:highlight w:val="yellow"/>
              </w:rPr>
              <w:t>accommodation</w:t>
            </w:r>
            <w:r w:rsidR="005903E7">
              <w:rPr>
                <w:rFonts w:ascii="Arial" w:hAnsi="Arial" w:cs="Arial"/>
                <w:i/>
                <w:iCs/>
                <w:sz w:val="22"/>
                <w:szCs w:val="22"/>
                <w:highlight w:val="yellow"/>
              </w:rPr>
              <w:t xml:space="preserve"> occupancy rates </w:t>
            </w:r>
            <w:r w:rsidR="009A0137" w:rsidRPr="009A0137">
              <w:rPr>
                <w:rFonts w:ascii="Arial" w:hAnsi="Arial" w:cs="Arial"/>
                <w:i/>
                <w:iCs/>
                <w:sz w:val="22"/>
                <w:szCs w:val="22"/>
                <w:highlight w:val="yellow"/>
              </w:rPr>
              <w:t>and the total used</w:t>
            </w:r>
            <w:r w:rsidR="009A0137">
              <w:rPr>
                <w:rFonts w:ascii="Arial" w:hAnsi="Arial" w:cs="Arial"/>
              </w:rPr>
              <w:t xml:space="preserve"> </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lastRenderedPageBreak/>
              <w:t>All new housing development that would drain to the Budds Farm or Thornham Wastewater Treatment Works due to 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423328EB"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Recreational Pressure</w:t>
            </w:r>
          </w:p>
          <w:p w14:paraId="54A6835C" w14:textId="1C69495E" w:rsidR="00AD0853" w:rsidRPr="00AD0853" w:rsidRDefault="00AD0853" w:rsidP="00AD0853">
            <w:pPr>
              <w:spacing w:after="160" w:line="276" w:lineRule="auto"/>
              <w:rPr>
                <w:rFonts w:ascii="Arial" w:eastAsiaTheme="minorHAnsi" w:hAnsi="Arial" w:cs="Arial"/>
                <w:b/>
                <w:bCs/>
                <w:sz w:val="20"/>
                <w:szCs w:val="20"/>
                <w:lang w:eastAsia="en-US"/>
              </w:rPr>
            </w:pPr>
            <w:r w:rsidRPr="00AD0853">
              <w:rPr>
                <w:rFonts w:ascii="Arial" w:eastAsiaTheme="minorHAnsi" w:hAnsi="Arial" w:cs="Arial"/>
                <w:sz w:val="20"/>
                <w:szCs w:val="20"/>
                <w:lang w:eastAsia="en-US"/>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09B1F64B" w14:textId="70DD1384" w:rsidR="00AD0853" w:rsidRPr="00AD0853" w:rsidRDefault="00AD0853" w:rsidP="00AD0853">
            <w:pPr>
              <w:spacing w:after="160" w:line="276" w:lineRule="auto"/>
              <w:rPr>
                <w:rFonts w:ascii="Arial" w:eastAsiaTheme="minorHAnsi" w:hAnsi="Arial" w:cs="Arial"/>
                <w:b/>
                <w:bCs/>
                <w:sz w:val="20"/>
                <w:szCs w:val="20"/>
                <w:lang w:eastAsia="en-US"/>
              </w:rPr>
            </w:pPr>
            <w:r w:rsidRPr="00AD0853">
              <w:rPr>
                <w:rFonts w:ascii="Arial" w:eastAsiaTheme="minorHAnsi" w:hAnsi="Arial" w:cs="Arial"/>
                <w:sz w:val="20"/>
                <w:szCs w:val="20"/>
                <w:lang w:eastAsia="en-US"/>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0909A9EF" w14:textId="25DBC10A" w:rsidR="00AD0853" w:rsidRPr="00AD0853" w:rsidRDefault="00AD0853" w:rsidP="00AD0853">
            <w:pPr>
              <w:spacing w:after="160" w:line="276" w:lineRule="auto"/>
              <w:rPr>
                <w:rFonts w:ascii="Arial" w:eastAsiaTheme="minorHAnsi" w:hAnsi="Arial" w:cs="Arial"/>
                <w:b/>
                <w:bCs/>
                <w:sz w:val="20"/>
                <w:szCs w:val="20"/>
                <w:lang w:eastAsia="en-US"/>
              </w:rPr>
            </w:pPr>
            <w:r w:rsidRPr="00AD0853">
              <w:rPr>
                <w:rFonts w:ascii="Arial" w:eastAsiaTheme="minorHAnsi" w:hAnsi="Arial" w:cs="Arial"/>
                <w:sz w:val="20"/>
                <w:szCs w:val="20"/>
                <w:lang w:eastAsia="en-US"/>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193BC53F" w14:textId="52C8FCC8" w:rsidR="00625AFC" w:rsidRDefault="00AD0853" w:rsidP="00AD0853">
            <w:pPr>
              <w:spacing w:line="276" w:lineRule="auto"/>
              <w:rPr>
                <w:rFonts w:ascii="Arial" w:hAnsi="Arial" w:cs="Arial"/>
                <w:b/>
                <w:sz w:val="22"/>
                <w:szCs w:val="22"/>
              </w:rPr>
            </w:pPr>
            <w:r w:rsidRPr="00AD0853">
              <w:rPr>
                <w:rFonts w:ascii="Arial" w:eastAsiaTheme="minorHAnsi" w:hAnsi="Arial" w:cs="Arial"/>
                <w:sz w:val="20"/>
                <w:szCs w:val="20"/>
                <w:lang w:eastAsia="en-US"/>
              </w:rPr>
              <w:t>As a result, there would be a likely significant effect to the Chichester &amp; Langstone Harbours SPA due to recreation.</w:t>
            </w:r>
          </w:p>
          <w:p w14:paraId="64C4111E" w14:textId="77777777" w:rsidR="00625AFC" w:rsidRDefault="00625AFC" w:rsidP="00074C55">
            <w:pPr>
              <w:spacing w:line="276" w:lineRule="auto"/>
              <w:rPr>
                <w:rFonts w:ascii="Arial" w:hAnsi="Arial" w:cs="Arial"/>
                <w:b/>
                <w:sz w:val="22"/>
                <w:szCs w:val="22"/>
              </w:rPr>
            </w:pPr>
          </w:p>
          <w:p w14:paraId="737DC458"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Water Quality</w:t>
            </w:r>
          </w:p>
          <w:p w14:paraId="5B531704" w14:textId="54D561ED" w:rsidR="00254B60" w:rsidRPr="00254B60" w:rsidRDefault="00254B60" w:rsidP="00254B60">
            <w:pPr>
              <w:spacing w:after="160" w:line="276" w:lineRule="auto"/>
              <w:rPr>
                <w:rFonts w:ascii="Arial" w:hAnsi="Arial" w:cs="Arial"/>
                <w:b/>
                <w:bCs/>
                <w:sz w:val="20"/>
                <w:szCs w:val="20"/>
              </w:rPr>
            </w:pPr>
            <w:r w:rsidRPr="00254B60">
              <w:rPr>
                <w:rFonts w:ascii="Arial" w:hAnsi="Arial" w:cs="Arial"/>
                <w:sz w:val="20"/>
                <w:szCs w:val="20"/>
              </w:rPr>
              <w:t>The proposed development is within the catchment of a wastewater treatment works that would drain into the Chichester and Langstone Harbours SPA.</w:t>
            </w:r>
            <w:r w:rsidR="00252CD5">
              <w:rPr>
                <w:rFonts w:ascii="Arial" w:hAnsi="Arial" w:cs="Arial"/>
                <w:sz w:val="20"/>
                <w:szCs w:val="20"/>
              </w:rPr>
              <w:t xml:space="preserve"> </w:t>
            </w:r>
            <w:r w:rsidRPr="00254B60">
              <w:rPr>
                <w:rFonts w:ascii="Arial" w:hAnsi="Arial" w:cs="Arial"/>
                <w:sz w:val="20"/>
                <w:szCs w:val="20"/>
              </w:rPr>
              <w:t>Natural England advises that there is a likely significant effect on the Solent European Sites due to the increase in wastewater from the new housing as a result of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1DA6D5CA" w14:textId="77777777" w:rsidR="00254B60" w:rsidRPr="00254B60" w:rsidRDefault="00254B60" w:rsidP="00254B60">
            <w:pPr>
              <w:spacing w:after="160" w:line="276" w:lineRule="auto"/>
              <w:rPr>
                <w:rFonts w:ascii="Arial" w:hAnsi="Arial" w:cs="Arial"/>
                <w:b/>
                <w:bCs/>
                <w:sz w:val="20"/>
                <w:szCs w:val="20"/>
              </w:rPr>
            </w:pPr>
            <w:r w:rsidRPr="00254B60">
              <w:rPr>
                <w:rFonts w:ascii="Arial" w:hAnsi="Arial" w:cs="Arial"/>
                <w:sz w:val="20"/>
                <w:szCs w:val="20"/>
              </w:rPr>
              <w:t xml:space="preserve">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(PfSH), Natural England (NE), and Environment Agency (EA) have been jointly working to develop an Integrated Water Management Strategy (IWMS). This examines the potential for the PfSH region to accommodate future housing growth without having a detrimental effect upon the water </w:t>
            </w:r>
            <w:r w:rsidRPr="00254B60">
              <w:rPr>
                <w:rFonts w:ascii="Arial" w:hAnsi="Arial" w:cs="Arial"/>
                <w:sz w:val="20"/>
                <w:szCs w:val="20"/>
              </w:rPr>
              <w:lastRenderedPageBreak/>
              <w:t>environment. There is currently uncertainty as to whether there is sufficient capacity to accommodate the new housing growth.</w:t>
            </w:r>
          </w:p>
          <w:p w14:paraId="389041D4" w14:textId="2EB63F8F" w:rsidR="00254B60" w:rsidRPr="00254B60" w:rsidRDefault="00254B60" w:rsidP="00254B60">
            <w:pPr>
              <w:spacing w:after="160" w:line="276" w:lineRule="auto"/>
              <w:rPr>
                <w:rFonts w:ascii="Arial" w:hAnsi="Arial" w:cs="Arial"/>
                <w:b/>
                <w:bCs/>
                <w:sz w:val="20"/>
                <w:szCs w:val="20"/>
              </w:rPr>
            </w:pPr>
            <w:r w:rsidRPr="00254B60">
              <w:rPr>
                <w:rFonts w:ascii="Arial" w:hAnsi="Arial" w:cs="Arial"/>
                <w:sz w:val="20"/>
                <w:szCs w:val="20"/>
              </w:rPr>
              <w:t>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account and it is the ‘net’ nutrient emissions into European Sites that is critical.</w:t>
            </w:r>
          </w:p>
          <w:p w14:paraId="003707D5" w14:textId="65B3465B" w:rsidR="00254B60" w:rsidRPr="00254B60" w:rsidRDefault="00254B60" w:rsidP="00254B60">
            <w:pPr>
              <w:spacing w:after="160" w:line="276" w:lineRule="auto"/>
              <w:rPr>
                <w:rFonts w:ascii="Arial" w:hAnsi="Arial" w:cs="Arial"/>
                <w:b/>
                <w:bCs/>
                <w:sz w:val="20"/>
                <w:szCs w:val="20"/>
              </w:rPr>
            </w:pPr>
            <w:r w:rsidRPr="00254B60">
              <w:rPr>
                <w:rFonts w:ascii="Arial" w:hAnsi="Arial" w:cs="Arial"/>
                <w:sz w:val="20"/>
                <w:szCs w:val="20"/>
              </w:rPr>
              <w:t xml:space="preserve">This would need to be examined within an appropriate assessment and that the existing nutrient and conservation status of the receiving waters be taken into account. </w:t>
            </w:r>
          </w:p>
          <w:p w14:paraId="5A342715" w14:textId="77777777" w:rsidR="00254B60" w:rsidRPr="00254B60" w:rsidRDefault="00254B60" w:rsidP="00254B60">
            <w:pPr>
              <w:spacing w:after="160" w:line="276" w:lineRule="auto"/>
              <w:rPr>
                <w:rFonts w:ascii="Arial" w:hAnsi="Arial" w:cs="Arial"/>
                <w:b/>
                <w:bCs/>
                <w:sz w:val="20"/>
                <w:szCs w:val="20"/>
              </w:rPr>
            </w:pPr>
            <w:r w:rsidRPr="00254B60">
              <w:rPr>
                <w:rFonts w:ascii="Arial" w:hAnsi="Arial" w:cs="Arial"/>
                <w:sz w:val="20"/>
                <w:szCs w:val="20"/>
              </w:rPr>
              <w:t>As a result, there would be a likely significant effect to the following Solent European Sites due to water quality:</w:t>
            </w:r>
          </w:p>
          <w:p w14:paraId="1DCC2D05" w14:textId="77777777" w:rsidR="00254B60" w:rsidRPr="00254B60" w:rsidRDefault="00254B60" w:rsidP="00254B60">
            <w:pPr>
              <w:numPr>
                <w:ilvl w:val="0"/>
                <w:numId w:val="4"/>
              </w:numPr>
              <w:spacing w:after="160" w:line="276" w:lineRule="auto"/>
              <w:ind w:left="274" w:hanging="141"/>
              <w:contextualSpacing/>
              <w:rPr>
                <w:rFonts w:ascii="Arial" w:hAnsi="Arial" w:cs="Arial"/>
                <w:b/>
                <w:bCs/>
                <w:sz w:val="20"/>
                <w:szCs w:val="20"/>
              </w:rPr>
            </w:pPr>
            <w:r w:rsidRPr="00254B60">
              <w:rPr>
                <w:rFonts w:ascii="Arial" w:hAnsi="Arial" w:cs="Arial"/>
                <w:sz w:val="20"/>
                <w:szCs w:val="20"/>
              </w:rPr>
              <w:t xml:space="preserve">Chichester &amp; Langstone Harbours Special Protection Area (SPA) </w:t>
            </w:r>
          </w:p>
          <w:p w14:paraId="3CE7D941" w14:textId="77777777" w:rsidR="00254B60" w:rsidRPr="00254B60" w:rsidRDefault="00254B60" w:rsidP="00254B60">
            <w:pPr>
              <w:numPr>
                <w:ilvl w:val="0"/>
                <w:numId w:val="4"/>
              </w:numPr>
              <w:spacing w:after="160" w:line="276" w:lineRule="auto"/>
              <w:ind w:left="274" w:hanging="141"/>
              <w:contextualSpacing/>
              <w:rPr>
                <w:rFonts w:ascii="Arial" w:hAnsi="Arial" w:cs="Arial"/>
                <w:b/>
                <w:bCs/>
                <w:sz w:val="20"/>
                <w:szCs w:val="20"/>
              </w:rPr>
            </w:pPr>
            <w:r w:rsidRPr="00254B60">
              <w:rPr>
                <w:rFonts w:ascii="Arial" w:hAnsi="Arial" w:cs="Arial"/>
                <w:sz w:val="20"/>
                <w:szCs w:val="20"/>
              </w:rPr>
              <w:t>Chichester &amp; Langstone Harbours Ramsar site</w:t>
            </w:r>
          </w:p>
          <w:p w14:paraId="2586748C" w14:textId="77777777" w:rsidR="00254B60" w:rsidRPr="00254B60" w:rsidRDefault="00254B60" w:rsidP="00254B60">
            <w:pPr>
              <w:numPr>
                <w:ilvl w:val="0"/>
                <w:numId w:val="4"/>
              </w:numPr>
              <w:spacing w:after="160" w:line="276" w:lineRule="auto"/>
              <w:ind w:left="274" w:hanging="141"/>
              <w:contextualSpacing/>
              <w:rPr>
                <w:rFonts w:ascii="Arial" w:hAnsi="Arial" w:cs="Arial"/>
                <w:b/>
                <w:bCs/>
                <w:sz w:val="20"/>
                <w:szCs w:val="20"/>
              </w:rPr>
            </w:pPr>
            <w:r w:rsidRPr="00254B60">
              <w:rPr>
                <w:rFonts w:ascii="Arial" w:hAnsi="Arial" w:cs="Arial"/>
                <w:sz w:val="20"/>
                <w:szCs w:val="20"/>
              </w:rPr>
              <w:t>Solent Maritime Special Area of Conservation (SAC)</w:t>
            </w:r>
          </w:p>
          <w:p w14:paraId="3231E1D9" w14:textId="77777777" w:rsidR="00254B60" w:rsidRPr="00254B60" w:rsidRDefault="00254B60" w:rsidP="00254B60">
            <w:pPr>
              <w:numPr>
                <w:ilvl w:val="0"/>
                <w:numId w:val="4"/>
              </w:numPr>
              <w:spacing w:after="160" w:line="276" w:lineRule="auto"/>
              <w:ind w:left="274" w:hanging="141"/>
              <w:contextualSpacing/>
              <w:rPr>
                <w:rFonts w:ascii="Arial" w:hAnsi="Arial" w:cs="Arial"/>
                <w:b/>
                <w:bCs/>
                <w:sz w:val="20"/>
                <w:szCs w:val="20"/>
              </w:rPr>
            </w:pPr>
            <w:r w:rsidRPr="00254B60">
              <w:rPr>
                <w:rFonts w:ascii="Arial" w:hAnsi="Arial" w:cs="Arial"/>
                <w:sz w:val="20"/>
                <w:szCs w:val="20"/>
              </w:rPr>
              <w:t>Solent and Dorset Coast Special Protection Area (SPA)</w:t>
            </w:r>
          </w:p>
          <w:p w14:paraId="3EB20425" w14:textId="77777777" w:rsidR="00254B60" w:rsidRPr="00254B60" w:rsidRDefault="00254B60" w:rsidP="00254B60">
            <w:pPr>
              <w:numPr>
                <w:ilvl w:val="0"/>
                <w:numId w:val="4"/>
              </w:numPr>
              <w:spacing w:after="160" w:line="276" w:lineRule="auto"/>
              <w:ind w:left="274" w:hanging="141"/>
              <w:contextualSpacing/>
              <w:rPr>
                <w:rFonts w:ascii="Arial" w:hAnsi="Arial" w:cs="Arial"/>
                <w:b/>
                <w:bCs/>
                <w:sz w:val="20"/>
                <w:szCs w:val="20"/>
              </w:rPr>
            </w:pPr>
            <w:r w:rsidRPr="00254B60">
              <w:rPr>
                <w:rFonts w:ascii="Arial" w:hAnsi="Arial" w:cs="Arial"/>
                <w:sz w:val="20"/>
                <w:szCs w:val="20"/>
              </w:rPr>
              <w:t>Solent and Southampton Water SPA</w:t>
            </w:r>
          </w:p>
          <w:p w14:paraId="4E55CFC4" w14:textId="77777777" w:rsidR="00254B60" w:rsidRPr="00254B60" w:rsidRDefault="00254B60" w:rsidP="00254B60">
            <w:pPr>
              <w:numPr>
                <w:ilvl w:val="0"/>
                <w:numId w:val="4"/>
              </w:numPr>
              <w:spacing w:after="160" w:line="276" w:lineRule="auto"/>
              <w:ind w:left="274" w:hanging="141"/>
              <w:contextualSpacing/>
              <w:rPr>
                <w:rFonts w:ascii="Arial" w:hAnsi="Arial" w:cs="Arial"/>
                <w:b/>
                <w:bCs/>
                <w:sz w:val="20"/>
                <w:szCs w:val="20"/>
              </w:rPr>
            </w:pPr>
            <w:r w:rsidRPr="00254B60">
              <w:rPr>
                <w:rFonts w:ascii="Arial" w:hAnsi="Arial" w:cs="Arial"/>
                <w:sz w:val="20"/>
                <w:szCs w:val="20"/>
              </w:rPr>
              <w:t>Solent and Southampton Water Ramsar</w:t>
            </w:r>
          </w:p>
          <w:p w14:paraId="4D106141" w14:textId="77777777" w:rsidR="00254B60" w:rsidRPr="00254B60" w:rsidRDefault="00254B60" w:rsidP="00254B60">
            <w:pPr>
              <w:numPr>
                <w:ilvl w:val="0"/>
                <w:numId w:val="4"/>
              </w:numPr>
              <w:spacing w:after="160" w:line="276" w:lineRule="auto"/>
              <w:ind w:left="274" w:hanging="141"/>
              <w:contextualSpacing/>
              <w:rPr>
                <w:rFonts w:ascii="Arial" w:hAnsi="Arial" w:cs="Arial"/>
                <w:b/>
                <w:bCs/>
                <w:sz w:val="20"/>
                <w:szCs w:val="20"/>
              </w:rPr>
            </w:pPr>
            <w:r w:rsidRPr="00254B60">
              <w:rPr>
                <w:rFonts w:ascii="Arial" w:hAnsi="Arial" w:cs="Arial"/>
                <w:sz w:val="20"/>
                <w:szCs w:val="20"/>
              </w:rPr>
              <w:t>Portsmouth Harbour SPA</w:t>
            </w:r>
          </w:p>
          <w:p w14:paraId="086FC64B" w14:textId="77777777" w:rsidR="00254B60" w:rsidRPr="00254B60" w:rsidRDefault="00254B60" w:rsidP="00254B60">
            <w:pPr>
              <w:numPr>
                <w:ilvl w:val="0"/>
                <w:numId w:val="4"/>
              </w:numPr>
              <w:spacing w:after="160" w:line="276" w:lineRule="auto"/>
              <w:ind w:left="274" w:hanging="141"/>
              <w:contextualSpacing/>
              <w:rPr>
                <w:rFonts w:ascii="Arial" w:hAnsi="Arial" w:cs="Arial"/>
                <w:b/>
                <w:bCs/>
                <w:sz w:val="20"/>
                <w:szCs w:val="20"/>
              </w:rPr>
            </w:pPr>
            <w:r w:rsidRPr="00254B60">
              <w:rPr>
                <w:rFonts w:ascii="Arial" w:hAnsi="Arial" w:cs="Arial"/>
                <w:sz w:val="20"/>
                <w:szCs w:val="20"/>
              </w:rPr>
              <w:t>Portsmouth Harbour Ramsar</w:t>
            </w:r>
          </w:p>
          <w:p w14:paraId="4316F041" w14:textId="77777777" w:rsidR="00254B60" w:rsidRPr="00254B60" w:rsidRDefault="00254B60" w:rsidP="00254B60">
            <w:pPr>
              <w:numPr>
                <w:ilvl w:val="0"/>
                <w:numId w:val="4"/>
              </w:numPr>
              <w:spacing w:after="160" w:line="276" w:lineRule="auto"/>
              <w:ind w:left="274" w:hanging="141"/>
              <w:contextualSpacing/>
              <w:rPr>
                <w:rFonts w:ascii="Arial" w:hAnsi="Arial" w:cs="Arial"/>
                <w:sz w:val="20"/>
                <w:szCs w:val="20"/>
              </w:rPr>
            </w:pPr>
            <w:r w:rsidRPr="00254B60">
              <w:rPr>
                <w:rFonts w:ascii="Arial" w:hAnsi="Arial" w:cs="Arial"/>
                <w:sz w:val="20"/>
                <w:szCs w:val="20"/>
              </w:rPr>
              <w:t>Solent and Isle of Wight Lagoons SAC</w:t>
            </w:r>
          </w:p>
          <w:p w14:paraId="14822B32" w14:textId="77777777" w:rsidR="00625AFC" w:rsidRDefault="00625AFC" w:rsidP="00074C55">
            <w:pPr>
              <w:spacing w:line="276" w:lineRule="auto"/>
              <w:rPr>
                <w:rFonts w:ascii="Arial" w:hAnsi="Arial" w:cs="Arial"/>
                <w:b/>
                <w:sz w:val="22"/>
                <w:szCs w:val="22"/>
              </w:rPr>
            </w:pPr>
          </w:p>
          <w:p w14:paraId="21AA9AB8"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 xml:space="preserve">Would the proposal lead to a likely significant effect on European site integrity? </w:t>
            </w:r>
          </w:p>
          <w:p w14:paraId="28FE5026"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Yes, due to recreational pressure and water quality loss/degradation of supporting habitats and construction impacts.</w:t>
            </w:r>
          </w:p>
          <w:p w14:paraId="4430C145" w14:textId="3F558A56" w:rsidR="001071FC" w:rsidRPr="00B25729" w:rsidRDefault="00625AFC" w:rsidP="00625AFC">
            <w:pPr>
              <w:spacing w:line="276" w:lineRule="auto"/>
              <w:rPr>
                <w:rFonts w:ascii="Arial" w:hAnsi="Arial" w:cs="Arial"/>
              </w:rPr>
            </w:pPr>
            <w:r w:rsidRPr="00625AFC">
              <w:rPr>
                <w:rFonts w:ascii="Arial" w:hAnsi="Arial" w:cs="Arial"/>
                <w:sz w:val="22"/>
                <w:szCs w:val="22"/>
              </w:rPr>
              <w:t>(If yes, continue to Stage 3).</w:t>
            </w: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540D4AFC"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Recreational Pressure</w:t>
            </w:r>
          </w:p>
          <w:p w14:paraId="43ECCF53" w14:textId="3EC9F82D" w:rsidR="001A6D78" w:rsidRPr="001A6D78" w:rsidRDefault="001A6D78" w:rsidP="001A6D78">
            <w:pPr>
              <w:spacing w:after="160" w:line="276" w:lineRule="auto"/>
              <w:rPr>
                <w:rFonts w:ascii="Arial" w:hAnsi="Arial" w:cs="Arial"/>
                <w:sz w:val="20"/>
                <w:szCs w:val="20"/>
              </w:rPr>
            </w:pPr>
            <w:r w:rsidRPr="001A6D78">
              <w:rPr>
                <w:rFonts w:ascii="Arial" w:hAnsi="Arial" w:cs="Arial"/>
                <w:sz w:val="20"/>
                <w:szCs w:val="20"/>
              </w:rPr>
              <w:t>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as a result of the new development, is likely. As such, in order to lawfully</w:t>
            </w:r>
            <w:r w:rsidRPr="001A6D78">
              <w:rPr>
                <w:rFonts w:ascii="Arial" w:hAnsi="Arial" w:cs="Arial"/>
                <w:b/>
                <w:bCs/>
                <w:sz w:val="20"/>
                <w:szCs w:val="20"/>
              </w:rPr>
              <w:t xml:space="preserve"> </w:t>
            </w:r>
            <w:r w:rsidRPr="001A6D78">
              <w:rPr>
                <w:rFonts w:ascii="Arial" w:hAnsi="Arial" w:cs="Arial"/>
                <w:sz w:val="20"/>
                <w:szCs w:val="20"/>
              </w:rPr>
              <w:t>be permitted, the development will</w:t>
            </w:r>
            <w:r w:rsidRPr="001A6D78">
              <w:rPr>
                <w:rFonts w:ascii="Arial" w:hAnsi="Arial" w:cs="Arial"/>
                <w:b/>
                <w:bCs/>
                <w:sz w:val="20"/>
                <w:szCs w:val="20"/>
              </w:rPr>
              <w:t xml:space="preserve"> </w:t>
            </w:r>
            <w:r w:rsidRPr="001A6D78">
              <w:rPr>
                <w:rFonts w:ascii="Arial" w:hAnsi="Arial" w:cs="Arial"/>
                <w:sz w:val="20"/>
                <w:szCs w:val="20"/>
              </w:rPr>
              <w:t>need</w:t>
            </w:r>
            <w:r w:rsidRPr="001A6D78">
              <w:rPr>
                <w:rFonts w:ascii="Arial" w:hAnsi="Arial" w:cs="Arial"/>
                <w:b/>
                <w:bCs/>
                <w:sz w:val="20"/>
                <w:szCs w:val="20"/>
              </w:rPr>
              <w:t xml:space="preserve"> </w:t>
            </w:r>
            <w:r w:rsidRPr="001A6D78">
              <w:rPr>
                <w:rFonts w:ascii="Arial" w:hAnsi="Arial" w:cs="Arial"/>
                <w:sz w:val="20"/>
                <w:szCs w:val="20"/>
              </w:rPr>
              <w:t>to include a package of avoidance and mitigation measures.</w:t>
            </w:r>
          </w:p>
          <w:p w14:paraId="50C01983" w14:textId="515CEAF5" w:rsidR="001A6D78" w:rsidRPr="001A6D78" w:rsidRDefault="001A6D78" w:rsidP="001A6D78">
            <w:pPr>
              <w:spacing w:after="160" w:line="276" w:lineRule="auto"/>
              <w:rPr>
                <w:rFonts w:ascii="Arial" w:hAnsi="Arial" w:cs="Arial"/>
                <w:sz w:val="20"/>
                <w:szCs w:val="20"/>
              </w:rPr>
            </w:pPr>
            <w:r w:rsidRPr="001A6D78">
              <w:rPr>
                <w:rFonts w:ascii="Arial" w:hAnsi="Arial" w:cs="Arial"/>
                <w:sz w:val="20"/>
                <w:szCs w:val="20"/>
              </w:rPr>
              <w:t>Havant Borough Council formally adopted the Solent Recreation Mitigation Strategy in February 2018. The SRMS provides a strategic solution to ensure the requirements of the Habitats Regulations are met with regard to the in-combination effects of increased recreational pressure on the Solent SPAs arising from new residential development. This strategy represents a partnership approach to the issue which has been endorsed by Natural England.</w:t>
            </w:r>
          </w:p>
          <w:p w14:paraId="288B9C9A" w14:textId="05E52B4C" w:rsidR="001A6D78" w:rsidRPr="001A6D78" w:rsidRDefault="001A6D78" w:rsidP="001A6D78">
            <w:pPr>
              <w:spacing w:after="160" w:line="276" w:lineRule="auto"/>
              <w:rPr>
                <w:rFonts w:ascii="Arial" w:hAnsi="Arial" w:cs="Arial"/>
                <w:sz w:val="20"/>
                <w:szCs w:val="20"/>
              </w:rPr>
            </w:pPr>
            <w:r w:rsidRPr="001A6D78">
              <w:rPr>
                <w:rFonts w:ascii="Arial" w:hAnsi="Arial" w:cs="Arial"/>
                <w:sz w:val="20"/>
                <w:szCs w:val="20"/>
              </w:rPr>
              <w:t xml:space="preserve">As set out in the Solent Recreation Mitigation Strategy, </w:t>
            </w:r>
            <w:r w:rsidRPr="001A6D78">
              <w:rPr>
                <w:rFonts w:ascii="Arial" w:hAnsi="Arial" w:cs="Arial"/>
                <w:sz w:val="20"/>
                <w:szCs w:val="20"/>
                <w:u w:val="single"/>
              </w:rPr>
              <w:t xml:space="preserve">as of 1 April 2025 </w:t>
            </w:r>
            <w:r w:rsidR="003052B6">
              <w:rPr>
                <w:rFonts w:ascii="Arial" w:hAnsi="Arial" w:cs="Arial"/>
                <w:sz w:val="20"/>
                <w:szCs w:val="20"/>
                <w:u w:val="single"/>
              </w:rPr>
              <w:t xml:space="preserve"> and Appendix B, </w:t>
            </w:r>
            <w:r w:rsidRPr="001A6D78">
              <w:rPr>
                <w:rFonts w:ascii="Arial" w:hAnsi="Arial" w:cs="Arial"/>
                <w:sz w:val="20"/>
                <w:szCs w:val="20"/>
              </w:rPr>
              <w:t>an appropriate scale of mitigation for this scheme would be</w:t>
            </w:r>
            <w:r w:rsidR="003A10DA">
              <w:rPr>
                <w:rFonts w:ascii="Arial" w:hAnsi="Arial" w:cs="Arial"/>
                <w:sz w:val="20"/>
                <w:szCs w:val="20"/>
              </w:rPr>
              <w:t xml:space="preserve"> </w:t>
            </w:r>
            <w:r w:rsidR="003A10DA" w:rsidRPr="003052B6">
              <w:rPr>
                <w:rFonts w:ascii="Arial" w:hAnsi="Arial" w:cs="Arial"/>
                <w:sz w:val="20"/>
                <w:szCs w:val="20"/>
                <w:highlight w:val="yellow"/>
              </w:rPr>
              <w:t xml:space="preserve">based on the HMO </w:t>
            </w:r>
            <w:r w:rsidR="006C7FBD" w:rsidRPr="003052B6">
              <w:rPr>
                <w:rFonts w:ascii="Arial" w:hAnsi="Arial" w:cs="Arial"/>
                <w:sz w:val="20"/>
                <w:szCs w:val="20"/>
                <w:highlight w:val="yellow"/>
              </w:rPr>
              <w:t>being 1 x 5</w:t>
            </w:r>
            <w:r w:rsidR="000B31CC" w:rsidRPr="003052B6">
              <w:rPr>
                <w:rFonts w:ascii="Arial" w:hAnsi="Arial" w:cs="Arial"/>
                <w:sz w:val="20"/>
                <w:szCs w:val="20"/>
                <w:highlight w:val="yellow"/>
              </w:rPr>
              <w:t xml:space="preserve"> </w:t>
            </w:r>
            <w:r w:rsidR="006C7FBD" w:rsidRPr="003052B6">
              <w:rPr>
                <w:rFonts w:ascii="Arial" w:hAnsi="Arial" w:cs="Arial"/>
                <w:sz w:val="20"/>
                <w:szCs w:val="20"/>
                <w:highlight w:val="yellow"/>
              </w:rPr>
              <w:t xml:space="preserve">bedroom dwelling with each additional bedroom charged </w:t>
            </w:r>
            <w:r w:rsidR="000B31CC" w:rsidRPr="003052B6">
              <w:rPr>
                <w:rFonts w:ascii="Arial" w:hAnsi="Arial" w:cs="Arial"/>
                <w:sz w:val="20"/>
                <w:szCs w:val="20"/>
                <w:highlight w:val="yellow"/>
              </w:rPr>
              <w:t xml:space="preserve">as 1 bedroom </w:t>
            </w:r>
            <w:r w:rsidR="003052B6" w:rsidRPr="003052B6">
              <w:rPr>
                <w:rFonts w:ascii="Arial" w:hAnsi="Arial" w:cs="Arial"/>
                <w:sz w:val="20"/>
                <w:szCs w:val="20"/>
                <w:highlight w:val="yellow"/>
              </w:rPr>
              <w:t>i.e.</w:t>
            </w:r>
            <w:r w:rsidR="000B31CC" w:rsidRPr="003052B6">
              <w:rPr>
                <w:rFonts w:ascii="Arial" w:hAnsi="Arial" w:cs="Arial"/>
                <w:sz w:val="20"/>
                <w:szCs w:val="20"/>
                <w:highlight w:val="yellow"/>
              </w:rPr>
              <w:t xml:space="preserve"> 1</w:t>
            </w:r>
            <w:r w:rsidR="003052B6">
              <w:rPr>
                <w:rFonts w:ascii="Arial" w:hAnsi="Arial" w:cs="Arial"/>
                <w:sz w:val="20"/>
                <w:szCs w:val="20"/>
                <w:highlight w:val="yellow"/>
              </w:rPr>
              <w:t xml:space="preserve"> </w:t>
            </w:r>
            <w:r w:rsidR="000B31CC" w:rsidRPr="003052B6">
              <w:rPr>
                <w:rFonts w:ascii="Arial" w:hAnsi="Arial" w:cs="Arial"/>
                <w:sz w:val="20"/>
                <w:szCs w:val="20"/>
                <w:highlight w:val="yellow"/>
              </w:rPr>
              <w:t>x</w:t>
            </w:r>
            <w:r w:rsidR="003052B6">
              <w:rPr>
                <w:rFonts w:ascii="Arial" w:hAnsi="Arial" w:cs="Arial"/>
                <w:sz w:val="20"/>
                <w:szCs w:val="20"/>
                <w:highlight w:val="yellow"/>
              </w:rPr>
              <w:t xml:space="preserve"> </w:t>
            </w:r>
            <w:r w:rsidR="000B31CC" w:rsidRPr="003052B6">
              <w:rPr>
                <w:rFonts w:ascii="Arial" w:hAnsi="Arial" w:cs="Arial"/>
                <w:sz w:val="20"/>
                <w:szCs w:val="20"/>
                <w:highlight w:val="yellow"/>
              </w:rPr>
              <w:t xml:space="preserve">5 bed plus </w:t>
            </w:r>
            <w:r w:rsidR="003052B6" w:rsidRPr="003052B6">
              <w:rPr>
                <w:rFonts w:ascii="Arial" w:hAnsi="Arial" w:cs="Arial"/>
                <w:sz w:val="20"/>
                <w:szCs w:val="20"/>
                <w:highlight w:val="yellow"/>
              </w:rPr>
              <w:t xml:space="preserve">7 x 1 bed; </w:t>
            </w:r>
            <w:r w:rsidR="003052B6">
              <w:rPr>
                <w:rFonts w:ascii="Arial" w:hAnsi="Arial" w:cs="Arial"/>
                <w:sz w:val="20"/>
                <w:szCs w:val="20"/>
                <w:highlight w:val="yellow"/>
              </w:rPr>
              <w:t xml:space="preserve">and </w:t>
            </w:r>
            <w:r w:rsidR="003052B6" w:rsidRPr="003052B6">
              <w:rPr>
                <w:rFonts w:ascii="Arial" w:hAnsi="Arial" w:cs="Arial"/>
                <w:sz w:val="20"/>
                <w:szCs w:val="20"/>
                <w:highlight w:val="yellow"/>
              </w:rPr>
              <w:t>with the 8 x 1 bed flats that totals 15 x 1 beds</w:t>
            </w:r>
            <w:r w:rsidRPr="001A6D78">
              <w:rPr>
                <w:rFonts w:ascii="Arial" w:hAnsi="Arial" w:cs="Arial"/>
                <w:sz w:val="20"/>
                <w:szCs w:val="20"/>
                <w:highlight w:val="yellow"/>
              </w:rPr>
              <w:t>:</w:t>
            </w:r>
            <w:r w:rsidRPr="001A6D78">
              <w:rPr>
                <w:rFonts w:ascii="Arial" w:hAnsi="Arial" w:cs="Arial"/>
                <w:i/>
                <w:iCs/>
                <w:sz w:val="20"/>
                <w:szCs w:val="20"/>
              </w:rPr>
              <w:tab/>
            </w:r>
          </w:p>
          <w:bookmarkStart w:id="0" w:name="_MON_1658147270"/>
          <w:bookmarkEnd w:id="0"/>
          <w:p w14:paraId="13333F1D" w14:textId="10A729BD" w:rsidR="001A6D78" w:rsidRPr="001A6D78" w:rsidRDefault="003A10DA" w:rsidP="001A6D78">
            <w:pPr>
              <w:spacing w:after="160" w:line="276" w:lineRule="auto"/>
              <w:rPr>
                <w:rFonts w:ascii="Arial" w:hAnsi="Arial" w:cs="Arial"/>
                <w:i/>
                <w:iCs/>
                <w:sz w:val="20"/>
                <w:szCs w:val="20"/>
              </w:rPr>
            </w:pPr>
            <w:r w:rsidRPr="001A6D78">
              <w:rPr>
                <w:rFonts w:ascii="Arial" w:hAnsi="Arial" w:cs="Arial"/>
                <w:i/>
                <w:iCs/>
                <w:sz w:val="20"/>
                <w:szCs w:val="20"/>
              </w:rPr>
              <w:object w:dxaOrig="9874" w:dyaOrig="4328" w14:anchorId="5D1F61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493.5pt;height:3in" o:ole="">
                  <v:imagedata r:id="rId9" o:title=""/>
                </v:shape>
                <o:OLEObject Type="Embed" ProgID="Excel.Sheet.12" ShapeID="_x0000_i1038" DrawAspect="Content" ObjectID="_1832743668" r:id="rId10"/>
              </w:object>
            </w:r>
          </w:p>
          <w:p w14:paraId="65B42A7F" w14:textId="08FED3E5" w:rsidR="001A6D78" w:rsidRPr="001A6D78" w:rsidRDefault="001A6D78" w:rsidP="001A6D78">
            <w:pPr>
              <w:spacing w:after="160" w:line="276" w:lineRule="auto"/>
              <w:rPr>
                <w:rFonts w:ascii="Arial" w:hAnsi="Arial" w:cs="Arial"/>
                <w:sz w:val="20"/>
                <w:szCs w:val="20"/>
              </w:rPr>
            </w:pPr>
            <w:r w:rsidRPr="001A6D78">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66E2E5A0" w14:textId="26B7269E" w:rsidR="001A6D78" w:rsidRPr="001A6D78" w:rsidRDefault="001A6D78" w:rsidP="00AF13EB">
            <w:pPr>
              <w:spacing w:after="160" w:line="276" w:lineRule="auto"/>
              <w:jc w:val="both"/>
              <w:rPr>
                <w:rFonts w:ascii="Arial" w:hAnsi="Arial" w:cs="Arial"/>
                <w:sz w:val="20"/>
                <w:szCs w:val="20"/>
              </w:rPr>
            </w:pPr>
            <w:r w:rsidRPr="001A6D78">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p>
          <w:p w14:paraId="02C13772" w14:textId="0B991A83" w:rsidR="00625AFC" w:rsidRPr="00AF13EB" w:rsidRDefault="001A6D78" w:rsidP="00AF13EB">
            <w:pPr>
              <w:spacing w:after="160" w:line="276" w:lineRule="auto"/>
              <w:rPr>
                <w:rFonts w:ascii="Arial" w:hAnsi="Arial" w:cs="Arial"/>
                <w:sz w:val="20"/>
                <w:szCs w:val="20"/>
              </w:rPr>
            </w:pPr>
            <w:r w:rsidRPr="001A6D78">
              <w:rPr>
                <w:rFonts w:ascii="Arial" w:hAnsi="Arial" w:cs="Arial"/>
                <w:sz w:val="20"/>
                <w:szCs w:val="20"/>
              </w:rPr>
              <w:t>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As long as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4978B56E" w14:textId="77777777" w:rsidR="00625AFC" w:rsidRPr="00625AFC" w:rsidRDefault="00625AFC" w:rsidP="00625AFC">
            <w:pPr>
              <w:spacing w:line="276" w:lineRule="auto"/>
              <w:rPr>
                <w:rFonts w:ascii="Arial" w:hAnsi="Arial" w:cs="Arial"/>
                <w:b/>
                <w:sz w:val="22"/>
                <w:szCs w:val="22"/>
              </w:rPr>
            </w:pPr>
          </w:p>
          <w:p w14:paraId="36D50C77"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Water Quality</w:t>
            </w:r>
          </w:p>
          <w:p w14:paraId="4E3F54D6" w14:textId="08CB3D8C" w:rsidR="00424ACB" w:rsidRPr="00424ACB" w:rsidRDefault="00424ACB" w:rsidP="00424ACB">
            <w:pPr>
              <w:spacing w:after="160" w:line="276" w:lineRule="auto"/>
              <w:rPr>
                <w:rFonts w:ascii="Arial" w:eastAsiaTheme="minorHAnsi" w:hAnsi="Arial" w:cs="Arial"/>
                <w:sz w:val="20"/>
                <w:szCs w:val="20"/>
                <w:lang w:eastAsia="en-US"/>
              </w:rPr>
            </w:pPr>
            <w:r w:rsidRPr="00424ACB">
              <w:rPr>
                <w:rFonts w:ascii="Arial" w:eastAsiaTheme="minorHAnsi" w:hAnsi="Arial" w:cs="Arial"/>
                <w:sz w:val="20"/>
                <w:szCs w:val="20"/>
                <w:lang w:eastAsia="en-US"/>
              </w:rPr>
              <w:t>The project being assessed would result in an increase in population in the catchment of several Solent European Sites as set out in stage 2. As advised by Natural England, a permanent significant effect on the Solent European Sites due to the decrease in water quality as a result of new development, is likely. As such, in order to lawfully be permitted, further assessment is needed as to the net nutrient emissions from the site, including any avoidance or mitigation measures proposed.</w:t>
            </w:r>
          </w:p>
          <w:p w14:paraId="0555134D" w14:textId="1927462E" w:rsidR="00424ACB" w:rsidRPr="00424ACB" w:rsidRDefault="00424ACB" w:rsidP="00424ACB">
            <w:pPr>
              <w:spacing w:after="160" w:line="276" w:lineRule="auto"/>
              <w:rPr>
                <w:rFonts w:ascii="Arial" w:eastAsiaTheme="minorHAnsi" w:hAnsi="Arial" w:cs="Arial"/>
                <w:sz w:val="20"/>
                <w:szCs w:val="20"/>
                <w:lang w:eastAsia="en-US"/>
              </w:rPr>
            </w:pPr>
            <w:r w:rsidRPr="00424ACB">
              <w:rPr>
                <w:rFonts w:ascii="Arial" w:eastAsiaTheme="minorHAnsi" w:hAnsi="Arial" w:cs="Arial"/>
                <w:sz w:val="20"/>
                <w:szCs w:val="20"/>
                <w:lang w:eastAsia="en-US"/>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36DBAC50" w14:textId="35F568C3" w:rsidR="00424ACB" w:rsidRPr="00424ACB" w:rsidRDefault="00424ACB" w:rsidP="00424ACB">
            <w:pPr>
              <w:spacing w:after="160" w:line="276" w:lineRule="auto"/>
              <w:rPr>
                <w:rFonts w:ascii="Arial" w:eastAsiaTheme="minorHAnsi" w:hAnsi="Arial" w:cs="Arial"/>
                <w:sz w:val="20"/>
                <w:szCs w:val="20"/>
                <w:lang w:eastAsia="en-US"/>
              </w:rPr>
            </w:pPr>
            <w:r w:rsidRPr="00424ACB">
              <w:rPr>
                <w:rFonts w:ascii="Arial" w:eastAsiaTheme="minorHAnsi" w:hAnsi="Arial" w:cs="Arial"/>
                <w:sz w:val="20"/>
                <w:szCs w:val="20"/>
                <w:lang w:eastAsia="en-US"/>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This calculation has confirmed that the site will emit a nutrient load into European Sites. The calculations for this development site are part of the applications case file.</w:t>
            </w:r>
          </w:p>
          <w:p w14:paraId="246E535A" w14:textId="77777777" w:rsidR="00424ACB" w:rsidRPr="00424ACB" w:rsidRDefault="00424ACB" w:rsidP="00424ACB">
            <w:pPr>
              <w:spacing w:after="160" w:line="276" w:lineRule="auto"/>
              <w:rPr>
                <w:rFonts w:ascii="Arial" w:eastAsiaTheme="minorHAnsi" w:hAnsi="Arial" w:cs="Arial"/>
                <w:sz w:val="20"/>
                <w:szCs w:val="20"/>
                <w:lang w:eastAsia="en-US"/>
              </w:rPr>
            </w:pPr>
            <w:r w:rsidRPr="00424ACB">
              <w:rPr>
                <w:rFonts w:ascii="Arial" w:eastAsiaTheme="minorHAnsi" w:hAnsi="Arial" w:cs="Arial"/>
                <w:sz w:val="20"/>
                <w:szCs w:val="20"/>
                <w:lang w:eastAsia="en-US"/>
              </w:rPr>
              <w:t>Achieving a position where there are no net nutrient emissions into the Solent European Sites from this development involves the use of a specific on-site avoidance measure as well as the use of Warblington Farm as a specific off-site mitigation measure. The scientific report ‘Review of the Warblington Farm Mitigation Option for Nutrient Neutral Development in the Havant Borough’ is available at www.havant.gov.uk/nitrogen which confirms suitability of the use of Warblington for nutrient mitigation to mitigate for development in Havant Borough.</w:t>
            </w:r>
          </w:p>
          <w:p w14:paraId="56A7AA96" w14:textId="360626EE" w:rsidR="00424ACB" w:rsidRPr="00424ACB" w:rsidRDefault="00424ACB" w:rsidP="00424ACB">
            <w:pPr>
              <w:spacing w:after="160" w:line="276" w:lineRule="auto"/>
              <w:rPr>
                <w:rFonts w:ascii="Arial" w:eastAsiaTheme="minorHAnsi" w:hAnsi="Arial" w:cs="Arial"/>
                <w:sz w:val="20"/>
                <w:szCs w:val="20"/>
                <w:lang w:eastAsia="en-US"/>
              </w:rPr>
            </w:pPr>
            <w:r w:rsidRPr="00424ACB">
              <w:rPr>
                <w:rFonts w:ascii="Arial" w:eastAsiaTheme="minorHAnsi" w:hAnsi="Arial" w:cs="Arial"/>
                <w:sz w:val="20"/>
                <w:szCs w:val="20"/>
                <w:lang w:eastAsia="en-US"/>
              </w:rPr>
              <w:lastRenderedPageBreak/>
              <w:t xml:space="preserve">As set out in the Position Statement and Mitigation Plan for Nutrient Neutral Development, </w:t>
            </w:r>
            <w:r w:rsidRPr="00424ACB">
              <w:rPr>
                <w:rFonts w:ascii="Arial" w:hAnsi="Arial" w:cs="Arial"/>
                <w:i/>
                <w:iCs/>
                <w:sz w:val="20"/>
                <w:szCs w:val="20"/>
                <w:u w:val="single"/>
              </w:rPr>
              <w:t xml:space="preserve">as of 1 April 2025 </w:t>
            </w:r>
            <w:r w:rsidRPr="00424ACB">
              <w:rPr>
                <w:rFonts w:ascii="Arial" w:eastAsiaTheme="minorHAnsi" w:hAnsi="Arial" w:cs="Arial"/>
                <w:sz w:val="20"/>
                <w:szCs w:val="20"/>
                <w:lang w:eastAsia="en-US"/>
              </w:rPr>
              <w:t xml:space="preserve">an appropriate </w:t>
            </w:r>
            <w:r w:rsidRPr="00424ACB">
              <w:rPr>
                <w:rFonts w:ascii="Arial" w:eastAsiaTheme="minorHAnsi" w:hAnsi="Arial" w:cs="Arial"/>
                <w:sz w:val="20"/>
                <w:szCs w:val="20"/>
                <w:highlight w:val="yellow"/>
                <w:lang w:eastAsia="en-US"/>
              </w:rPr>
              <w:t xml:space="preserve">scale of mitigation </w:t>
            </w:r>
            <w:r w:rsidR="00E775FD" w:rsidRPr="008634FA">
              <w:rPr>
                <w:rFonts w:ascii="Arial" w:eastAsiaTheme="minorHAnsi" w:hAnsi="Arial" w:cs="Arial"/>
                <w:sz w:val="20"/>
                <w:szCs w:val="20"/>
                <w:highlight w:val="yellow"/>
                <w:lang w:eastAsia="en-US"/>
              </w:rPr>
              <w:t xml:space="preserve">has been based on </w:t>
            </w:r>
            <w:r w:rsidR="00952736" w:rsidRPr="008634FA">
              <w:rPr>
                <w:rFonts w:ascii="Arial" w:eastAsiaTheme="minorHAnsi" w:hAnsi="Arial" w:cs="Arial"/>
                <w:sz w:val="20"/>
                <w:szCs w:val="20"/>
                <w:highlight w:val="yellow"/>
                <w:lang w:eastAsia="en-US"/>
              </w:rPr>
              <w:t xml:space="preserve">the sum of </w:t>
            </w:r>
            <w:r w:rsidR="00E775FD" w:rsidRPr="008634FA">
              <w:rPr>
                <w:rFonts w:ascii="Arial" w:eastAsiaTheme="minorHAnsi" w:hAnsi="Arial" w:cs="Arial"/>
                <w:sz w:val="20"/>
                <w:szCs w:val="20"/>
                <w:highlight w:val="yellow"/>
                <w:lang w:eastAsia="en-US"/>
              </w:rPr>
              <w:t xml:space="preserve">2 separate nitrogen budgets – one for the 8 x 1 bed flats using </w:t>
            </w:r>
            <w:r w:rsidR="002641DC" w:rsidRPr="008634FA">
              <w:rPr>
                <w:rFonts w:ascii="Arial" w:eastAsiaTheme="minorHAnsi" w:hAnsi="Arial" w:cs="Arial"/>
                <w:sz w:val="20"/>
                <w:szCs w:val="20"/>
                <w:highlight w:val="yellow"/>
                <w:lang w:eastAsia="en-US"/>
              </w:rPr>
              <w:t>Havant’s</w:t>
            </w:r>
            <w:r w:rsidR="00E775FD" w:rsidRPr="008634FA">
              <w:rPr>
                <w:rFonts w:ascii="Arial" w:eastAsiaTheme="minorHAnsi" w:hAnsi="Arial" w:cs="Arial"/>
                <w:sz w:val="20"/>
                <w:szCs w:val="20"/>
                <w:highlight w:val="yellow"/>
                <w:lang w:eastAsia="en-US"/>
              </w:rPr>
              <w:t xml:space="preserve"> occupancy </w:t>
            </w:r>
            <w:r w:rsidR="002641DC" w:rsidRPr="008634FA">
              <w:rPr>
                <w:rFonts w:ascii="Arial" w:eastAsiaTheme="minorHAnsi" w:hAnsi="Arial" w:cs="Arial"/>
                <w:sz w:val="20"/>
                <w:szCs w:val="20"/>
                <w:highlight w:val="yellow"/>
                <w:lang w:eastAsia="en-US"/>
              </w:rPr>
              <w:t xml:space="preserve">rate of </w:t>
            </w:r>
            <w:r w:rsidR="009C2821" w:rsidRPr="008634FA">
              <w:rPr>
                <w:rFonts w:ascii="Arial" w:eastAsiaTheme="minorHAnsi" w:hAnsi="Arial" w:cs="Arial"/>
                <w:sz w:val="20"/>
                <w:szCs w:val="20"/>
                <w:highlight w:val="yellow"/>
                <w:lang w:eastAsia="en-US"/>
              </w:rPr>
              <w:t>1.4; and the second for the</w:t>
            </w:r>
            <w:r w:rsidR="00D3680F" w:rsidRPr="008634FA">
              <w:rPr>
                <w:rFonts w:ascii="Arial" w:eastAsiaTheme="minorHAnsi" w:hAnsi="Arial" w:cs="Arial"/>
                <w:sz w:val="20"/>
                <w:szCs w:val="20"/>
                <w:highlight w:val="yellow"/>
                <w:lang w:eastAsia="en-US"/>
              </w:rPr>
              <w:t xml:space="preserve"> 12 bed</w:t>
            </w:r>
            <w:r w:rsidR="009C2821" w:rsidRPr="008634FA">
              <w:rPr>
                <w:rFonts w:ascii="Arial" w:eastAsiaTheme="minorHAnsi" w:hAnsi="Arial" w:cs="Arial"/>
                <w:sz w:val="20"/>
                <w:szCs w:val="20"/>
                <w:highlight w:val="yellow"/>
                <w:lang w:eastAsia="en-US"/>
              </w:rPr>
              <w:t xml:space="preserve"> HMO </w:t>
            </w:r>
            <w:r w:rsidR="00D3680F" w:rsidRPr="008634FA">
              <w:rPr>
                <w:rFonts w:ascii="Arial" w:eastAsiaTheme="minorHAnsi" w:hAnsi="Arial" w:cs="Arial"/>
                <w:sz w:val="20"/>
                <w:szCs w:val="20"/>
                <w:highlight w:val="yellow"/>
                <w:lang w:eastAsia="en-US"/>
              </w:rPr>
              <w:t>based on the occupancy of a 5+ dwelling (</w:t>
            </w:r>
            <w:r w:rsidR="007E75EE" w:rsidRPr="008634FA">
              <w:rPr>
                <w:rFonts w:ascii="Arial" w:eastAsiaTheme="minorHAnsi" w:hAnsi="Arial" w:cs="Arial"/>
                <w:sz w:val="20"/>
                <w:szCs w:val="20"/>
                <w:highlight w:val="yellow"/>
                <w:lang w:eastAsia="en-US"/>
              </w:rPr>
              <w:t xml:space="preserve">occupancy is 3.6) </w:t>
            </w:r>
            <w:r w:rsidR="004B2E39" w:rsidRPr="008634FA">
              <w:rPr>
                <w:rFonts w:ascii="Arial" w:eastAsiaTheme="minorHAnsi" w:hAnsi="Arial" w:cs="Arial"/>
                <w:sz w:val="20"/>
                <w:szCs w:val="20"/>
                <w:highlight w:val="yellow"/>
                <w:lang w:eastAsia="en-US"/>
              </w:rPr>
              <w:t xml:space="preserve">with every </w:t>
            </w:r>
            <w:r w:rsidR="00EC78AD" w:rsidRPr="008634FA">
              <w:rPr>
                <w:rFonts w:ascii="Arial" w:eastAsiaTheme="minorHAnsi" w:hAnsi="Arial" w:cs="Arial"/>
                <w:sz w:val="20"/>
                <w:szCs w:val="20"/>
                <w:highlight w:val="yellow"/>
                <w:lang w:eastAsia="en-US"/>
              </w:rPr>
              <w:t xml:space="preserve">additional bedroom having an occupancy of 1, giving </w:t>
            </w:r>
            <w:r w:rsidR="00952736" w:rsidRPr="008634FA">
              <w:rPr>
                <w:rFonts w:ascii="Arial" w:eastAsiaTheme="minorHAnsi" w:hAnsi="Arial" w:cs="Arial"/>
                <w:sz w:val="20"/>
                <w:szCs w:val="20"/>
                <w:highlight w:val="yellow"/>
                <w:lang w:eastAsia="en-US"/>
              </w:rPr>
              <w:t xml:space="preserve">an occupancy rate of 10.6. The nitrogen budget for the flats resulted in a nitrogen load of </w:t>
            </w:r>
            <w:r w:rsidR="00F12500" w:rsidRPr="008634FA">
              <w:rPr>
                <w:rFonts w:ascii="Arial" w:eastAsiaTheme="minorHAnsi" w:hAnsi="Arial" w:cs="Arial"/>
                <w:sz w:val="20"/>
                <w:szCs w:val="20"/>
                <w:highlight w:val="yellow"/>
                <w:lang w:eastAsia="en-US"/>
              </w:rPr>
              <w:t xml:space="preserve">4.46 kg/n2 and the HMO </w:t>
            </w:r>
            <w:r w:rsidR="008634FA" w:rsidRPr="008634FA">
              <w:rPr>
                <w:rFonts w:ascii="Arial" w:eastAsiaTheme="minorHAnsi" w:hAnsi="Arial" w:cs="Arial"/>
                <w:sz w:val="20"/>
                <w:szCs w:val="20"/>
                <w:highlight w:val="yellow"/>
                <w:lang w:eastAsia="en-US"/>
              </w:rPr>
              <w:t>4.24 kg/n2, giving a total nitrogen load of 8.7 kg/n2:</w:t>
            </w:r>
            <w:r w:rsidR="008634FA">
              <w:rPr>
                <w:rFonts w:ascii="Arial" w:eastAsiaTheme="minorHAnsi" w:hAnsi="Arial" w:cs="Arial"/>
                <w:sz w:val="20"/>
                <w:szCs w:val="20"/>
                <w:lang w:eastAsia="en-US"/>
              </w:rPr>
              <w:t xml:space="preserve"> </w:t>
            </w:r>
            <w:r w:rsidR="00952736">
              <w:rPr>
                <w:rFonts w:ascii="Arial" w:eastAsiaTheme="minorHAnsi" w:hAnsi="Arial" w:cs="Arial"/>
                <w:sz w:val="20"/>
                <w:szCs w:val="20"/>
                <w:lang w:eastAsia="en-US"/>
              </w:rPr>
              <w:t xml:space="preserve"> </w:t>
            </w:r>
          </w:p>
          <w:bookmarkStart w:id="1" w:name="_MON_1653989736"/>
          <w:bookmarkEnd w:id="1"/>
          <w:p w14:paraId="79483353" w14:textId="4B66BD64" w:rsidR="00424ACB" w:rsidRPr="00424ACB" w:rsidRDefault="00E07A24" w:rsidP="00424ACB">
            <w:pPr>
              <w:spacing w:after="160" w:line="276" w:lineRule="auto"/>
              <w:rPr>
                <w:rFonts w:ascii="Arial" w:eastAsiaTheme="minorHAnsi" w:hAnsi="Arial" w:cs="Arial"/>
                <w:sz w:val="20"/>
                <w:szCs w:val="20"/>
                <w:lang w:eastAsia="en-US"/>
              </w:rPr>
            </w:pPr>
            <w:r w:rsidRPr="00424ACB">
              <w:rPr>
                <w:rFonts w:ascii="Arial" w:eastAsiaTheme="minorHAnsi" w:hAnsi="Arial" w:cs="Arial"/>
                <w:sz w:val="20"/>
                <w:szCs w:val="20"/>
                <w:lang w:eastAsia="en-US"/>
              </w:rPr>
              <w:object w:dxaOrig="6691" w:dyaOrig="2773" w14:anchorId="48D831CD">
                <v:shape id="_x0000_i1046" type="#_x0000_t75" style="width:333pt;height:138pt" o:ole="">
                  <v:imagedata r:id="rId11" o:title=""/>
                </v:shape>
                <o:OLEObject Type="Embed" ProgID="Excel.Sheet.12" ShapeID="_x0000_i1046" DrawAspect="Content" ObjectID="_1832743669" r:id="rId12"/>
              </w:object>
            </w:r>
          </w:p>
          <w:p w14:paraId="14C94439" w14:textId="61E5FA80" w:rsidR="003201AA" w:rsidRDefault="00424ACB" w:rsidP="00424ACB">
            <w:pPr>
              <w:spacing w:line="276" w:lineRule="auto"/>
              <w:rPr>
                <w:rFonts w:ascii="Arial" w:hAnsi="Arial" w:cs="Arial"/>
                <w:sz w:val="22"/>
                <w:szCs w:val="22"/>
              </w:rPr>
            </w:pPr>
            <w:r w:rsidRPr="00424ACB">
              <w:rPr>
                <w:rFonts w:ascii="Arial" w:eastAsiaTheme="minorHAnsi" w:hAnsi="Arial" w:cs="Arial"/>
                <w:sz w:val="20"/>
                <w:szCs w:val="20"/>
                <w:lang w:eastAsia="en-US"/>
              </w:rPr>
              <w:t>A legal agreement will be necessary to secure this avoidance and mitigation package in perpetuity. Without the security of the mitigation being provided through a legal agreement, a significant effect would remain likely. As long as such a legal agreement is secured through the planning process, the proposed development will not affect the water quality of the Solent European Sites and therefore the development will not act against the stated conservation objectives of the Solent European Sites.</w:t>
            </w:r>
          </w:p>
          <w:p w14:paraId="3EF6EC55" w14:textId="03D42E6A" w:rsidR="001C1699" w:rsidRPr="003201AA" w:rsidRDefault="001C1699" w:rsidP="001C1699">
            <w:pPr>
              <w:spacing w:line="276" w:lineRule="auto"/>
              <w:rPr>
                <w:rFonts w:ascii="Arial" w:hAnsi="Arial" w:cs="Arial"/>
                <w:sz w:val="22"/>
                <w:szCs w:val="22"/>
              </w:rPr>
            </w:pP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1071FC" w:rsidRPr="00C6619F" w14:paraId="525874DE" w14:textId="77777777" w:rsidTr="00741821">
        <w:tc>
          <w:tcPr>
            <w:tcW w:w="9608" w:type="dxa"/>
            <w:gridSpan w:val="3"/>
          </w:tcPr>
          <w:p w14:paraId="0A171A5E" w14:textId="77777777" w:rsidR="00961A42" w:rsidRDefault="00961A42" w:rsidP="002C0485">
            <w:pPr>
              <w:spacing w:line="276" w:lineRule="auto"/>
              <w:rPr>
                <w:rFonts w:ascii="Arial" w:hAnsi="Arial" w:cs="Arial"/>
              </w:rPr>
            </w:pPr>
          </w:p>
          <w:p w14:paraId="1CACFFC5" w14:textId="703C872D" w:rsidR="005903E7" w:rsidRPr="005903E7" w:rsidRDefault="005903E7" w:rsidP="005903E7">
            <w:pPr>
              <w:spacing w:after="160" w:line="276" w:lineRule="auto"/>
              <w:rPr>
                <w:rFonts w:ascii="Arial" w:eastAsiaTheme="minorHAnsi" w:hAnsi="Arial" w:cs="Arial"/>
                <w:sz w:val="20"/>
                <w:szCs w:val="20"/>
                <w:lang w:eastAsia="en-US"/>
              </w:rPr>
            </w:pPr>
            <w:r w:rsidRPr="005903E7">
              <w:rPr>
                <w:rFonts w:ascii="Arial" w:eastAsiaTheme="minorHAnsi" w:hAnsi="Arial" w:cs="Arial"/>
                <w:sz w:val="20"/>
                <w:szCs w:val="20"/>
                <w:lang w:eastAsia="en-US"/>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3FD4CB69" w14:textId="2B334D5B" w:rsidR="005903E7" w:rsidRPr="005903E7" w:rsidRDefault="005903E7" w:rsidP="005903E7">
            <w:pPr>
              <w:spacing w:after="160" w:line="276" w:lineRule="auto"/>
              <w:rPr>
                <w:rFonts w:ascii="Arial" w:eastAsiaTheme="minorHAnsi" w:hAnsi="Arial" w:cs="Arial"/>
                <w:sz w:val="20"/>
                <w:szCs w:val="20"/>
                <w:lang w:eastAsia="en-US"/>
              </w:rPr>
            </w:pPr>
            <w:r w:rsidRPr="005903E7">
              <w:rPr>
                <w:rFonts w:ascii="Arial" w:eastAsiaTheme="minorHAnsi" w:hAnsi="Arial" w:cs="Arial"/>
                <w:sz w:val="20"/>
                <w:szCs w:val="20"/>
                <w:lang w:eastAsia="en-US"/>
              </w:rPr>
              <w:t xml:space="preserve">This assessment concludes that the application will have a likely significant effect in the absence of avoidance and mitigation measures on the above Solent European sites. </w:t>
            </w:r>
          </w:p>
          <w:p w14:paraId="61236804" w14:textId="73EACD10" w:rsidR="005903E7" w:rsidRPr="005903E7" w:rsidRDefault="005903E7" w:rsidP="005903E7">
            <w:pPr>
              <w:spacing w:after="160" w:line="276" w:lineRule="auto"/>
              <w:rPr>
                <w:rFonts w:ascii="Arial" w:eastAsiaTheme="minorHAnsi" w:hAnsi="Arial" w:cs="Arial"/>
                <w:sz w:val="20"/>
                <w:szCs w:val="20"/>
                <w:lang w:eastAsia="en-US"/>
              </w:rPr>
            </w:pPr>
            <w:r w:rsidRPr="005903E7">
              <w:rPr>
                <w:rFonts w:ascii="Arial" w:eastAsiaTheme="minorHAnsi" w:hAnsi="Arial" w:cs="Arial"/>
                <w:sz w:val="20"/>
                <w:szCs w:val="20"/>
                <w:lang w:eastAsia="en-US"/>
              </w:rPr>
              <w:t>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Position Statement and Mitigation Plan for Nutrient Neutral Development with regards water quality.</w:t>
            </w:r>
          </w:p>
          <w:p w14:paraId="52744A6F" w14:textId="14E0C446" w:rsidR="00BD6E38" w:rsidRPr="00B25729" w:rsidRDefault="005903E7" w:rsidP="002C0485">
            <w:pPr>
              <w:spacing w:line="276" w:lineRule="auto"/>
              <w:rPr>
                <w:rFonts w:ascii="Arial" w:hAnsi="Arial" w:cs="Arial"/>
              </w:rPr>
            </w:pPr>
            <w:r w:rsidRPr="005903E7">
              <w:rPr>
                <w:rFonts w:ascii="Arial" w:eastAsiaTheme="minorHAnsi" w:hAnsi="Arial" w:cs="Arial"/>
                <w:sz w:val="20"/>
                <w:szCs w:val="20"/>
                <w:lang w:eastAsia="en-US"/>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tc>
      </w:tr>
      <w:tr w:rsidR="001071FC" w:rsidRPr="00C6619F" w14:paraId="5368D2B8" w14:textId="77777777" w:rsidTr="00741821">
        <w:tc>
          <w:tcPr>
            <w:tcW w:w="9608" w:type="dxa"/>
            <w:gridSpan w:val="3"/>
            <w:shd w:val="clear" w:color="auto" w:fill="DAE7EE"/>
          </w:tcPr>
          <w:p w14:paraId="26883BBF" w14:textId="77777777" w:rsidR="001071FC" w:rsidRPr="00AB55E3" w:rsidRDefault="001071FC" w:rsidP="00741821">
            <w:pPr>
              <w:spacing w:line="276" w:lineRule="auto"/>
              <w:rPr>
                <w:rFonts w:ascii="Arial" w:hAnsi="Arial" w:cs="Arial"/>
                <w:b/>
              </w:rPr>
            </w:pPr>
            <w:r>
              <w:rPr>
                <w:rFonts w:ascii="Arial" w:hAnsi="Arial" w:cs="Arial"/>
                <w:sz w:val="22"/>
                <w:szCs w:val="22"/>
              </w:rPr>
              <w:t xml:space="preserve">Natural </w:t>
            </w:r>
            <w:smartTag w:uri="urn:schemas-microsoft-com:office:smarttags" w:element="place">
              <w:smartTag w:uri="urn:schemas-microsoft-com:office:smarttags" w:element="country-region">
                <w:r>
                  <w:rPr>
                    <w:rFonts w:ascii="Arial" w:hAnsi="Arial" w:cs="Arial"/>
                    <w:sz w:val="22"/>
                    <w:szCs w:val="22"/>
                  </w:rPr>
                  <w:t>England</w:t>
                </w:r>
              </w:smartTag>
            </w:smartTag>
            <w:r>
              <w:rPr>
                <w:rFonts w:ascii="Arial" w:hAnsi="Arial" w:cs="Arial"/>
                <w:sz w:val="22"/>
                <w:szCs w:val="22"/>
              </w:rPr>
              <w:t xml:space="preserve"> Officer:</w:t>
            </w:r>
          </w:p>
        </w:tc>
      </w:tr>
      <w:tr w:rsidR="001071FC" w:rsidRPr="00C6619F" w14:paraId="6C967290" w14:textId="77777777" w:rsidTr="00741821">
        <w:tc>
          <w:tcPr>
            <w:tcW w:w="9608" w:type="dxa"/>
            <w:gridSpan w:val="3"/>
            <w:tcBorders>
              <w:bottom w:val="single" w:sz="12" w:space="0" w:color="0083BE"/>
            </w:tcBorders>
          </w:tcPr>
          <w:p w14:paraId="7768CFDB" w14:textId="77777777" w:rsidR="001071FC" w:rsidRDefault="001071FC" w:rsidP="00741821">
            <w:pPr>
              <w:spacing w:line="276" w:lineRule="auto"/>
              <w:rPr>
                <w:rFonts w:ascii="Arial" w:hAnsi="Arial" w:cs="Arial"/>
              </w:rPr>
            </w:pPr>
            <w:r>
              <w:rPr>
                <w:rFonts w:ascii="Arial" w:hAnsi="Arial" w:cs="Arial"/>
                <w:sz w:val="22"/>
                <w:szCs w:val="22"/>
              </w:rPr>
              <w:t>Summary of Natural England’s comments:</w:t>
            </w:r>
          </w:p>
          <w:p w14:paraId="0AFAFDCC" w14:textId="77777777" w:rsidR="001071FC" w:rsidRDefault="001071FC" w:rsidP="00741821">
            <w:pPr>
              <w:spacing w:line="276" w:lineRule="auto"/>
              <w:rPr>
                <w:rFonts w:ascii="Arial" w:hAnsi="Arial" w:cs="Arial"/>
              </w:rPr>
            </w:pPr>
          </w:p>
          <w:p w14:paraId="59E72AB0" w14:textId="77777777" w:rsidR="001071FC" w:rsidRDefault="001071FC" w:rsidP="00741821">
            <w:pPr>
              <w:spacing w:line="276" w:lineRule="auto"/>
              <w:rPr>
                <w:rFonts w:ascii="Arial" w:hAnsi="Arial" w:cs="Arial"/>
              </w:rPr>
            </w:pPr>
          </w:p>
          <w:p w14:paraId="763809FC" w14:textId="77777777" w:rsidR="001071FC" w:rsidRDefault="001071FC" w:rsidP="00741821">
            <w:pPr>
              <w:spacing w:line="276" w:lineRule="auto"/>
              <w:rPr>
                <w:rFonts w:ascii="Arial" w:hAnsi="Arial" w:cs="Arial"/>
              </w:rPr>
            </w:pPr>
          </w:p>
          <w:p w14:paraId="5EE3F1F8" w14:textId="77777777" w:rsidR="007B59DF" w:rsidRDefault="007B59DF" w:rsidP="00741821">
            <w:pPr>
              <w:spacing w:line="276" w:lineRule="auto"/>
              <w:rPr>
                <w:rFonts w:ascii="Arial" w:hAnsi="Arial" w:cs="Arial"/>
              </w:rPr>
            </w:pPr>
          </w:p>
          <w:p w14:paraId="69C6A6CF" w14:textId="77777777" w:rsidR="001071FC" w:rsidRDefault="001071FC" w:rsidP="00741821">
            <w:pPr>
              <w:spacing w:line="276" w:lineRule="auto"/>
              <w:rPr>
                <w:rFonts w:ascii="Arial" w:hAnsi="Arial" w:cs="Arial"/>
              </w:rPr>
            </w:pPr>
          </w:p>
          <w:p w14:paraId="04FA4CBD" w14:textId="77777777" w:rsidR="001071FC" w:rsidRDefault="001071FC" w:rsidP="00741821">
            <w:pPr>
              <w:spacing w:line="276" w:lineRule="auto"/>
              <w:rPr>
                <w:rFonts w:ascii="Arial" w:hAnsi="Arial" w:cs="Arial"/>
              </w:rPr>
            </w:pPr>
          </w:p>
          <w:p w14:paraId="115E939A" w14:textId="77777777" w:rsidR="001071FC" w:rsidRDefault="001071FC" w:rsidP="00741821">
            <w:pPr>
              <w:spacing w:line="276" w:lineRule="auto"/>
              <w:rPr>
                <w:rFonts w:ascii="Arial" w:hAnsi="Arial" w:cs="Arial"/>
              </w:rPr>
            </w:pPr>
          </w:p>
          <w:p w14:paraId="74514379" w14:textId="77777777" w:rsidR="001071FC" w:rsidRPr="00AB55E3" w:rsidRDefault="001071FC" w:rsidP="00741821">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D27633" w14:textId="77777777" w:rsidR="00302DC2" w:rsidRDefault="00302DC2" w:rsidP="00764DAD">
      <w:r>
        <w:separator/>
      </w:r>
    </w:p>
  </w:endnote>
  <w:endnote w:type="continuationSeparator" w:id="0">
    <w:p w14:paraId="6F1B771B" w14:textId="77777777" w:rsidR="00302DC2" w:rsidRDefault="00302DC2"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FA515" w14:textId="77777777" w:rsidR="00302DC2" w:rsidRDefault="00302DC2" w:rsidP="00764DAD">
      <w:r>
        <w:separator/>
      </w:r>
    </w:p>
  </w:footnote>
  <w:footnote w:type="continuationSeparator" w:id="0">
    <w:p w14:paraId="67251F59" w14:textId="77777777" w:rsidR="00302DC2" w:rsidRDefault="00302DC2"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145F0"/>
    <w:multiLevelType w:val="hybridMultilevel"/>
    <w:tmpl w:val="74CAC77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6BE5A46"/>
    <w:multiLevelType w:val="hybridMultilevel"/>
    <w:tmpl w:val="038C633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73A71A4"/>
    <w:multiLevelType w:val="hybridMultilevel"/>
    <w:tmpl w:val="D5FEFB7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9"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9"/>
  </w:num>
  <w:num w:numId="2" w16cid:durableId="1149788741">
    <w:abstractNumId w:val="4"/>
  </w:num>
  <w:num w:numId="3" w16cid:durableId="341709762">
    <w:abstractNumId w:val="2"/>
  </w:num>
  <w:num w:numId="4" w16cid:durableId="1583678000">
    <w:abstractNumId w:val="1"/>
  </w:num>
  <w:num w:numId="5" w16cid:durableId="46073398">
    <w:abstractNumId w:val="8"/>
  </w:num>
  <w:num w:numId="6" w16cid:durableId="1503815844">
    <w:abstractNumId w:val="5"/>
  </w:num>
  <w:num w:numId="7" w16cid:durableId="1723677326">
    <w:abstractNumId w:val="3"/>
  </w:num>
  <w:num w:numId="8" w16cid:durableId="2099405045">
    <w:abstractNumId w:val="6"/>
  </w:num>
  <w:num w:numId="9" w16cid:durableId="1415083067">
    <w:abstractNumId w:val="0"/>
  </w:num>
  <w:num w:numId="10" w16cid:durableId="2744799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223DC"/>
    <w:rsid w:val="00024352"/>
    <w:rsid w:val="00025CC3"/>
    <w:rsid w:val="00062512"/>
    <w:rsid w:val="00074C55"/>
    <w:rsid w:val="00081F8C"/>
    <w:rsid w:val="00087B06"/>
    <w:rsid w:val="00096423"/>
    <w:rsid w:val="000B31CC"/>
    <w:rsid w:val="000B45AE"/>
    <w:rsid w:val="001071FC"/>
    <w:rsid w:val="0011421F"/>
    <w:rsid w:val="00130118"/>
    <w:rsid w:val="001419F6"/>
    <w:rsid w:val="00141C02"/>
    <w:rsid w:val="00160247"/>
    <w:rsid w:val="0016538A"/>
    <w:rsid w:val="001758E5"/>
    <w:rsid w:val="001A371F"/>
    <w:rsid w:val="001A6D78"/>
    <w:rsid w:val="001C09D8"/>
    <w:rsid w:val="001C1699"/>
    <w:rsid w:val="001D09E3"/>
    <w:rsid w:val="001D73F7"/>
    <w:rsid w:val="001F5C37"/>
    <w:rsid w:val="002051F0"/>
    <w:rsid w:val="00217089"/>
    <w:rsid w:val="00252CD5"/>
    <w:rsid w:val="00254B60"/>
    <w:rsid w:val="00260A90"/>
    <w:rsid w:val="002641DC"/>
    <w:rsid w:val="00273115"/>
    <w:rsid w:val="00287505"/>
    <w:rsid w:val="002921B1"/>
    <w:rsid w:val="002B0F8A"/>
    <w:rsid w:val="002C0485"/>
    <w:rsid w:val="002F4F1A"/>
    <w:rsid w:val="00302DC2"/>
    <w:rsid w:val="003052B6"/>
    <w:rsid w:val="00317486"/>
    <w:rsid w:val="003201AA"/>
    <w:rsid w:val="003420FB"/>
    <w:rsid w:val="00351BDE"/>
    <w:rsid w:val="00352B89"/>
    <w:rsid w:val="003863B8"/>
    <w:rsid w:val="003A10DA"/>
    <w:rsid w:val="003D61FC"/>
    <w:rsid w:val="003F1EE3"/>
    <w:rsid w:val="003F4E87"/>
    <w:rsid w:val="004229C2"/>
    <w:rsid w:val="00424598"/>
    <w:rsid w:val="00424ACB"/>
    <w:rsid w:val="00426314"/>
    <w:rsid w:val="00443E22"/>
    <w:rsid w:val="00451B04"/>
    <w:rsid w:val="0045438E"/>
    <w:rsid w:val="0046018A"/>
    <w:rsid w:val="00466E08"/>
    <w:rsid w:val="00470B3D"/>
    <w:rsid w:val="004717F0"/>
    <w:rsid w:val="004859EB"/>
    <w:rsid w:val="00491DBE"/>
    <w:rsid w:val="004961E8"/>
    <w:rsid w:val="004A533D"/>
    <w:rsid w:val="004B2E39"/>
    <w:rsid w:val="004B5887"/>
    <w:rsid w:val="004E746D"/>
    <w:rsid w:val="004F2033"/>
    <w:rsid w:val="00535ED5"/>
    <w:rsid w:val="00556FCD"/>
    <w:rsid w:val="0057722B"/>
    <w:rsid w:val="005903E7"/>
    <w:rsid w:val="005A2A3C"/>
    <w:rsid w:val="005B3254"/>
    <w:rsid w:val="005B51A7"/>
    <w:rsid w:val="005C7960"/>
    <w:rsid w:val="005D2C30"/>
    <w:rsid w:val="005D59FD"/>
    <w:rsid w:val="005F1195"/>
    <w:rsid w:val="00601BEE"/>
    <w:rsid w:val="00622604"/>
    <w:rsid w:val="00625AFC"/>
    <w:rsid w:val="006363FF"/>
    <w:rsid w:val="006803F8"/>
    <w:rsid w:val="00682630"/>
    <w:rsid w:val="00684D6D"/>
    <w:rsid w:val="006969DF"/>
    <w:rsid w:val="006979A7"/>
    <w:rsid w:val="006A42CC"/>
    <w:rsid w:val="006C7FBD"/>
    <w:rsid w:val="006D3323"/>
    <w:rsid w:val="006D4653"/>
    <w:rsid w:val="006E5749"/>
    <w:rsid w:val="0070006E"/>
    <w:rsid w:val="00702325"/>
    <w:rsid w:val="00703049"/>
    <w:rsid w:val="007118A2"/>
    <w:rsid w:val="00731195"/>
    <w:rsid w:val="00741821"/>
    <w:rsid w:val="007422DF"/>
    <w:rsid w:val="00750549"/>
    <w:rsid w:val="007527CE"/>
    <w:rsid w:val="00755FCC"/>
    <w:rsid w:val="0076032B"/>
    <w:rsid w:val="00764DAD"/>
    <w:rsid w:val="00781E96"/>
    <w:rsid w:val="00787BCF"/>
    <w:rsid w:val="00791A45"/>
    <w:rsid w:val="00795671"/>
    <w:rsid w:val="007B59DF"/>
    <w:rsid w:val="007B5D18"/>
    <w:rsid w:val="007E75EE"/>
    <w:rsid w:val="007F2D78"/>
    <w:rsid w:val="00831D2D"/>
    <w:rsid w:val="00834B23"/>
    <w:rsid w:val="00851C3D"/>
    <w:rsid w:val="008565C0"/>
    <w:rsid w:val="008634FA"/>
    <w:rsid w:val="00865713"/>
    <w:rsid w:val="00865F31"/>
    <w:rsid w:val="0088177A"/>
    <w:rsid w:val="008B3776"/>
    <w:rsid w:val="008D245F"/>
    <w:rsid w:val="0090302F"/>
    <w:rsid w:val="00943B94"/>
    <w:rsid w:val="00944107"/>
    <w:rsid w:val="00952736"/>
    <w:rsid w:val="00960C52"/>
    <w:rsid w:val="00961A42"/>
    <w:rsid w:val="009A0137"/>
    <w:rsid w:val="009A3435"/>
    <w:rsid w:val="009A49CD"/>
    <w:rsid w:val="009C2821"/>
    <w:rsid w:val="009C47F8"/>
    <w:rsid w:val="00A3448D"/>
    <w:rsid w:val="00A3557D"/>
    <w:rsid w:val="00A3715C"/>
    <w:rsid w:val="00A552B0"/>
    <w:rsid w:val="00A637A0"/>
    <w:rsid w:val="00A6503B"/>
    <w:rsid w:val="00A8122D"/>
    <w:rsid w:val="00A9091E"/>
    <w:rsid w:val="00AA55C5"/>
    <w:rsid w:val="00AB47CA"/>
    <w:rsid w:val="00AB55E3"/>
    <w:rsid w:val="00AC12EA"/>
    <w:rsid w:val="00AD0853"/>
    <w:rsid w:val="00AE2054"/>
    <w:rsid w:val="00AE3077"/>
    <w:rsid w:val="00AF13EB"/>
    <w:rsid w:val="00B0405F"/>
    <w:rsid w:val="00B0615C"/>
    <w:rsid w:val="00B12E34"/>
    <w:rsid w:val="00B25729"/>
    <w:rsid w:val="00B67AB8"/>
    <w:rsid w:val="00B77F00"/>
    <w:rsid w:val="00BD5311"/>
    <w:rsid w:val="00BD6E38"/>
    <w:rsid w:val="00BE760D"/>
    <w:rsid w:val="00C1045F"/>
    <w:rsid w:val="00C11081"/>
    <w:rsid w:val="00C33A96"/>
    <w:rsid w:val="00C34120"/>
    <w:rsid w:val="00C35324"/>
    <w:rsid w:val="00C414A3"/>
    <w:rsid w:val="00C45B36"/>
    <w:rsid w:val="00C50C9E"/>
    <w:rsid w:val="00C53D8C"/>
    <w:rsid w:val="00C6619F"/>
    <w:rsid w:val="00C73EDB"/>
    <w:rsid w:val="00C77ADB"/>
    <w:rsid w:val="00C82D6F"/>
    <w:rsid w:val="00C96F16"/>
    <w:rsid w:val="00CA6898"/>
    <w:rsid w:val="00CC0E38"/>
    <w:rsid w:val="00CC2D8F"/>
    <w:rsid w:val="00CD3586"/>
    <w:rsid w:val="00CE087F"/>
    <w:rsid w:val="00CE53C5"/>
    <w:rsid w:val="00CF65D3"/>
    <w:rsid w:val="00D031A8"/>
    <w:rsid w:val="00D26D36"/>
    <w:rsid w:val="00D3680F"/>
    <w:rsid w:val="00D5043E"/>
    <w:rsid w:val="00D60E0E"/>
    <w:rsid w:val="00D702C8"/>
    <w:rsid w:val="00D8389A"/>
    <w:rsid w:val="00D85710"/>
    <w:rsid w:val="00D873D9"/>
    <w:rsid w:val="00D91765"/>
    <w:rsid w:val="00DB7BEC"/>
    <w:rsid w:val="00DD20BE"/>
    <w:rsid w:val="00DE35DC"/>
    <w:rsid w:val="00E0391C"/>
    <w:rsid w:val="00E07A24"/>
    <w:rsid w:val="00E31B62"/>
    <w:rsid w:val="00E3736C"/>
    <w:rsid w:val="00E60AEF"/>
    <w:rsid w:val="00E7065A"/>
    <w:rsid w:val="00E775FD"/>
    <w:rsid w:val="00E84B10"/>
    <w:rsid w:val="00E90816"/>
    <w:rsid w:val="00EA71EA"/>
    <w:rsid w:val="00EB5C3C"/>
    <w:rsid w:val="00EC279A"/>
    <w:rsid w:val="00EC28E9"/>
    <w:rsid w:val="00EC461B"/>
    <w:rsid w:val="00EC78AD"/>
    <w:rsid w:val="00ED3F14"/>
    <w:rsid w:val="00EF293F"/>
    <w:rsid w:val="00EF3D07"/>
    <w:rsid w:val="00F12500"/>
    <w:rsid w:val="00F276A0"/>
    <w:rsid w:val="00F32E66"/>
    <w:rsid w:val="00F86FCF"/>
    <w:rsid w:val="00F87826"/>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4600267">
      <w:bodyDiv w:val="1"/>
      <w:marLeft w:val="0"/>
      <w:marRight w:val="0"/>
      <w:marTop w:val="0"/>
      <w:marBottom w:val="0"/>
      <w:divBdr>
        <w:top w:val="none" w:sz="0" w:space="0" w:color="auto"/>
        <w:left w:val="none" w:sz="0" w:space="0" w:color="auto"/>
        <w:bottom w:val="none" w:sz="0" w:space="0" w:color="auto"/>
        <w:right w:val="none" w:sz="0" w:space="0" w:color="auto"/>
      </w:divBdr>
    </w:div>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5</Pages>
  <Words>2424</Words>
  <Characters>13237</Characters>
  <Application>Microsoft Office Word</Application>
  <DocSecurity>0</DocSecurity>
  <Lines>200</Lines>
  <Paragraphs>64</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15597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Pickup, Tina</cp:lastModifiedBy>
  <cp:revision>33</cp:revision>
  <cp:lastPrinted>2014-02-18T14:51:00Z</cp:lastPrinted>
  <dcterms:created xsi:type="dcterms:W3CDTF">2026-02-16T10:15:00Z</dcterms:created>
  <dcterms:modified xsi:type="dcterms:W3CDTF">2026-02-16T10:41:00Z</dcterms:modified>
</cp:coreProperties>
</file>