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95AD0" w14:textId="77777777" w:rsidR="001074A2" w:rsidRDefault="001074A2" w:rsidP="001074A2">
      <w:pPr>
        <w:pStyle w:val="paragraph"/>
        <w:spacing w:before="0" w:beforeAutospacing="0" w:after="0" w:afterAutospacing="0"/>
        <w:jc w:val="center"/>
        <w:textAlignment w:val="baseline"/>
        <w:rPr>
          <w:rFonts w:ascii="Segoe UI" w:hAnsi="Segoe UI" w:cs="Segoe UI"/>
          <w:sz w:val="18"/>
          <w:szCs w:val="18"/>
        </w:rPr>
      </w:pPr>
      <w:r>
        <w:rPr>
          <w:rStyle w:val="normaltextrun"/>
          <w:rFonts w:ascii="Aptos" w:eastAsiaTheme="majorEastAsia" w:hAnsi="Aptos" w:cs="Segoe UI"/>
          <w:sz w:val="28"/>
          <w:szCs w:val="28"/>
        </w:rPr>
        <w:t>HIWFRS advice in respect of HMOs and of Planning Applications not involving higher-risk premises.</w:t>
      </w:r>
      <w:r>
        <w:rPr>
          <w:rStyle w:val="eop"/>
          <w:rFonts w:ascii="Aptos" w:eastAsiaTheme="majorEastAsia" w:hAnsi="Aptos" w:cs="Segoe UI"/>
          <w:sz w:val="28"/>
          <w:szCs w:val="28"/>
        </w:rPr>
        <w:t> </w:t>
      </w:r>
    </w:p>
    <w:p w14:paraId="6B3DCBC8" w14:textId="77777777" w:rsidR="001074A2" w:rsidRDefault="001074A2" w:rsidP="001074A2">
      <w:pPr>
        <w:pStyle w:val="paragraph"/>
        <w:spacing w:before="0" w:beforeAutospacing="0" w:after="0" w:afterAutospacing="0"/>
        <w:jc w:val="center"/>
        <w:textAlignment w:val="baseline"/>
        <w:rPr>
          <w:rFonts w:ascii="Segoe UI" w:hAnsi="Segoe UI" w:cs="Segoe UI"/>
          <w:sz w:val="18"/>
          <w:szCs w:val="18"/>
        </w:rPr>
      </w:pPr>
      <w:r>
        <w:rPr>
          <w:rStyle w:val="eop"/>
          <w:rFonts w:ascii="Aptos" w:eastAsiaTheme="majorEastAsia" w:hAnsi="Aptos" w:cs="Segoe UI"/>
          <w:sz w:val="28"/>
          <w:szCs w:val="28"/>
        </w:rPr>
        <w:t> </w:t>
      </w:r>
    </w:p>
    <w:p w14:paraId="3CBF98EA" w14:textId="77777777" w:rsidR="001074A2" w:rsidRPr="001074A2" w:rsidRDefault="001074A2" w:rsidP="001074A2">
      <w:pPr>
        <w:pStyle w:val="paragraph"/>
        <w:spacing w:before="0" w:beforeAutospacing="0" w:after="0" w:afterAutospacing="0"/>
        <w:jc w:val="center"/>
        <w:textAlignment w:val="baseline"/>
        <w:rPr>
          <w:rFonts w:ascii="Segoe UI" w:hAnsi="Segoe UI" w:cs="Segoe UI"/>
          <w:b/>
          <w:bCs/>
          <w:sz w:val="18"/>
          <w:szCs w:val="18"/>
        </w:rPr>
      </w:pPr>
      <w:r w:rsidRPr="001074A2">
        <w:rPr>
          <w:rStyle w:val="normaltextrun"/>
          <w:rFonts w:ascii="Aptos" w:eastAsiaTheme="majorEastAsia" w:hAnsi="Aptos" w:cs="Segoe UI"/>
          <w:b/>
          <w:bCs/>
        </w:rPr>
        <w:t>Please select the most appropriate advice from the sections below:</w:t>
      </w:r>
      <w:r w:rsidRPr="001074A2">
        <w:rPr>
          <w:rStyle w:val="eop"/>
          <w:rFonts w:ascii="Aptos" w:eastAsiaTheme="majorEastAsia" w:hAnsi="Aptos" w:cs="Segoe UI"/>
          <w:b/>
          <w:bCs/>
        </w:rPr>
        <w:t> </w:t>
      </w:r>
    </w:p>
    <w:p w14:paraId="1D5A1A28" w14:textId="77777777" w:rsidR="001074A2" w:rsidRDefault="001074A2" w:rsidP="001074A2">
      <w:pPr>
        <w:pStyle w:val="paragraph"/>
        <w:spacing w:before="0" w:beforeAutospacing="0" w:after="0" w:afterAutospacing="0"/>
        <w:jc w:val="center"/>
        <w:textAlignment w:val="baseline"/>
        <w:rPr>
          <w:rFonts w:ascii="Segoe UI" w:hAnsi="Segoe UI" w:cs="Segoe UI"/>
          <w:sz w:val="18"/>
          <w:szCs w:val="18"/>
        </w:rPr>
      </w:pPr>
      <w:r>
        <w:rPr>
          <w:rStyle w:val="eop"/>
          <w:rFonts w:ascii="Aptos" w:eastAsiaTheme="majorEastAsia" w:hAnsi="Aptos" w:cs="Segoe UI"/>
          <w:sz w:val="28"/>
          <w:szCs w:val="28"/>
        </w:rPr>
        <w:t> </w:t>
      </w:r>
    </w:p>
    <w:p w14:paraId="24AA3F82" w14:textId="77777777" w:rsidR="001074A2" w:rsidRDefault="001074A2" w:rsidP="001074A2">
      <w:pPr>
        <w:pStyle w:val="paragraph"/>
        <w:spacing w:before="0" w:beforeAutospacing="0" w:after="0" w:afterAutospacing="0"/>
        <w:textAlignment w:val="baseline"/>
        <w:rPr>
          <w:rStyle w:val="eop"/>
          <w:rFonts w:ascii="Aptos" w:eastAsiaTheme="majorEastAsia" w:hAnsi="Aptos" w:cs="Segoe UI"/>
        </w:rPr>
      </w:pPr>
      <w:r>
        <w:rPr>
          <w:rStyle w:val="normaltextrun"/>
          <w:rFonts w:ascii="Aptos" w:eastAsiaTheme="majorEastAsia" w:hAnsi="Aptos" w:cs="Segoe UI"/>
          <w:b/>
          <w:bCs/>
        </w:rPr>
        <w:t>HMOS up to three storeys in height and providing at least seven bedspaces.</w:t>
      </w:r>
      <w:r>
        <w:rPr>
          <w:rStyle w:val="eop"/>
          <w:rFonts w:ascii="Aptos" w:eastAsiaTheme="majorEastAsia" w:hAnsi="Aptos" w:cs="Segoe UI"/>
        </w:rPr>
        <w:t> </w:t>
      </w:r>
    </w:p>
    <w:p w14:paraId="02D01BC4" w14:textId="77777777" w:rsidR="001074A2" w:rsidRDefault="001074A2" w:rsidP="001074A2">
      <w:pPr>
        <w:pStyle w:val="paragraph"/>
        <w:spacing w:before="0" w:beforeAutospacing="0" w:after="0" w:afterAutospacing="0"/>
        <w:textAlignment w:val="baseline"/>
        <w:rPr>
          <w:rFonts w:ascii="Segoe UI" w:hAnsi="Segoe UI" w:cs="Segoe UI"/>
          <w:sz w:val="18"/>
          <w:szCs w:val="18"/>
        </w:rPr>
      </w:pPr>
    </w:p>
    <w:p w14:paraId="325322F0" w14:textId="77777777" w:rsidR="001074A2" w:rsidRDefault="001074A2" w:rsidP="001074A2">
      <w:pPr>
        <w:pStyle w:val="paragraph"/>
        <w:spacing w:before="0" w:beforeAutospacing="0" w:after="0" w:afterAutospacing="0"/>
        <w:ind w:right="75"/>
        <w:textAlignment w:val="baseline"/>
        <w:rPr>
          <w:rStyle w:val="eop"/>
          <w:rFonts w:ascii="Aptos" w:eastAsiaTheme="majorEastAsia" w:hAnsi="Aptos" w:cs="Segoe UI"/>
        </w:rPr>
      </w:pPr>
      <w:r>
        <w:rPr>
          <w:rStyle w:val="normaltextrun"/>
          <w:rFonts w:ascii="Aptos" w:eastAsiaTheme="majorEastAsia" w:hAnsi="Aptos" w:cs="Segoe UI"/>
          <w:u w:val="single"/>
        </w:rPr>
        <w:t>Overview of the design basis of House of Multiple Occupancy (HMO) </w:t>
      </w:r>
      <w:r>
        <w:rPr>
          <w:rStyle w:val="eop"/>
          <w:rFonts w:ascii="Aptos" w:eastAsiaTheme="majorEastAsia" w:hAnsi="Aptos" w:cs="Segoe UI"/>
        </w:rPr>
        <w:t> </w:t>
      </w:r>
    </w:p>
    <w:p w14:paraId="3838AD53" w14:textId="77777777" w:rsidR="001074A2" w:rsidRDefault="001074A2" w:rsidP="001074A2">
      <w:pPr>
        <w:pStyle w:val="paragraph"/>
        <w:spacing w:before="0" w:beforeAutospacing="0" w:after="0" w:afterAutospacing="0"/>
        <w:ind w:right="75"/>
        <w:textAlignment w:val="baseline"/>
        <w:rPr>
          <w:rFonts w:ascii="Segoe UI" w:hAnsi="Segoe UI" w:cs="Segoe UI"/>
          <w:sz w:val="18"/>
          <w:szCs w:val="18"/>
        </w:rPr>
      </w:pPr>
    </w:p>
    <w:p w14:paraId="14A7B81B" w14:textId="77777777" w:rsidR="001074A2" w:rsidRDefault="001074A2" w:rsidP="001074A2">
      <w:pPr>
        <w:pStyle w:val="paragraph"/>
        <w:spacing w:before="0" w:beforeAutospacing="0" w:after="0" w:afterAutospacing="0"/>
        <w:jc w:val="both"/>
        <w:textAlignment w:val="baseline"/>
        <w:rPr>
          <w:rStyle w:val="normaltextrun"/>
          <w:rFonts w:ascii="Arial" w:eastAsiaTheme="majorEastAsia" w:hAnsi="Arial" w:cs="Arial"/>
        </w:rPr>
      </w:pPr>
      <w:r>
        <w:rPr>
          <w:rStyle w:val="normaltextrun"/>
          <w:rFonts w:ascii="Aptos" w:eastAsiaTheme="majorEastAsia" w:hAnsi="Aptos" w:cs="Segoe UI"/>
        </w:rPr>
        <w:t>It is understood that the building is being extended/altered which is identified as ‘building work’ as defined in the Building Regulations 2010.  Therefore, the fire safety design should achieve the functional requirement of Part B.  The usual means of achieving this is to comply with Approved Document B (Vol 2) (AD B) or an equivalent recognised standard.</w:t>
      </w:r>
      <w:r>
        <w:rPr>
          <w:rStyle w:val="normaltextrun"/>
          <w:rFonts w:ascii="Arial" w:eastAsiaTheme="majorEastAsia" w:hAnsi="Arial" w:cs="Arial"/>
        </w:rPr>
        <w:t> </w:t>
      </w:r>
    </w:p>
    <w:p w14:paraId="3A701A51" w14:textId="5CD5E464"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rPr>
        <w:t> </w:t>
      </w:r>
      <w:r>
        <w:rPr>
          <w:rStyle w:val="eop"/>
          <w:rFonts w:ascii="Aptos" w:eastAsiaTheme="majorEastAsia" w:hAnsi="Aptos" w:cs="Segoe UI"/>
        </w:rPr>
        <w:t> </w:t>
      </w:r>
    </w:p>
    <w:p w14:paraId="79AE7A0D" w14:textId="77777777" w:rsidR="001074A2" w:rsidRDefault="001074A2" w:rsidP="001074A2">
      <w:pPr>
        <w:pStyle w:val="paragraph"/>
        <w:spacing w:before="0" w:beforeAutospacing="0" w:after="0" w:afterAutospacing="0"/>
        <w:jc w:val="both"/>
        <w:textAlignment w:val="baseline"/>
        <w:rPr>
          <w:rStyle w:val="eop"/>
          <w:rFonts w:ascii="Aptos" w:eastAsiaTheme="majorEastAsia" w:hAnsi="Aptos" w:cs="Segoe UI"/>
          <w:color w:val="212121"/>
        </w:rPr>
      </w:pPr>
      <w:r>
        <w:rPr>
          <w:rStyle w:val="normaltextrun"/>
          <w:rFonts w:ascii="Aptos" w:eastAsiaTheme="majorEastAsia" w:hAnsi="Aptos" w:cs="Segoe UI"/>
        </w:rPr>
        <w:t>Local Authorities Co-ordinators of Regulatory Services (LACORS) and/or</w:t>
      </w:r>
      <w:r>
        <w:rPr>
          <w:rStyle w:val="normaltextrun"/>
          <w:rFonts w:ascii="Arial" w:eastAsiaTheme="majorEastAsia" w:hAnsi="Arial" w:cs="Arial"/>
        </w:rPr>
        <w:t> </w:t>
      </w:r>
      <w:r>
        <w:rPr>
          <w:rStyle w:val="normaltextrun"/>
          <w:rFonts w:ascii="Aptos" w:eastAsiaTheme="majorEastAsia" w:hAnsi="Aptos" w:cs="Segoe UI"/>
          <w:color w:val="212121"/>
        </w:rPr>
        <w:t>other Local Authority housing guidance documents are generally not suitable for use as design guides to meet current Building Regulations.  This is implied within LACORS in Section 2.3 whereby the guidance assumes that all buildings designed post-1991 will comply with current Building Regulations.</w:t>
      </w:r>
      <w:r>
        <w:rPr>
          <w:rStyle w:val="normaltextrun"/>
          <w:rFonts w:ascii="Arial" w:eastAsiaTheme="majorEastAsia" w:hAnsi="Arial" w:cs="Arial"/>
          <w:color w:val="212121"/>
        </w:rPr>
        <w:t> </w:t>
      </w:r>
      <w:r>
        <w:rPr>
          <w:rStyle w:val="eop"/>
          <w:rFonts w:ascii="Aptos" w:eastAsiaTheme="majorEastAsia" w:hAnsi="Aptos" w:cs="Segoe UI"/>
          <w:color w:val="212121"/>
        </w:rPr>
        <w:t> </w:t>
      </w:r>
    </w:p>
    <w:p w14:paraId="4258D74D"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p>
    <w:p w14:paraId="358D42C1" w14:textId="77777777" w:rsidR="001074A2" w:rsidRDefault="001074A2" w:rsidP="001074A2">
      <w:pPr>
        <w:pStyle w:val="paragraph"/>
        <w:spacing w:before="0" w:beforeAutospacing="0" w:after="0" w:afterAutospacing="0"/>
        <w:jc w:val="both"/>
        <w:textAlignment w:val="baseline"/>
        <w:rPr>
          <w:rStyle w:val="eop"/>
          <w:rFonts w:ascii="Aptos" w:eastAsiaTheme="majorEastAsia" w:hAnsi="Aptos" w:cs="Segoe UI"/>
        </w:rPr>
      </w:pPr>
      <w:r>
        <w:rPr>
          <w:rStyle w:val="normaltextrun"/>
          <w:rFonts w:ascii="Aptos" w:eastAsiaTheme="majorEastAsia" w:hAnsi="Aptos" w:cs="Segoe UI"/>
          <w:color w:val="212121"/>
        </w:rPr>
        <w:t xml:space="preserve">It must be noted that conformance with the Building Regulations in this case requires a more onerous standard of fire safety to that required by the Regulatory Reform (Fire Safety) Order 2005.  One example of this is that in accordance with AD B, a ‘Residential Other’ building with one floor level above first floor </w:t>
      </w:r>
      <w:r>
        <w:rPr>
          <w:rStyle w:val="normaltextrun"/>
          <w:rFonts w:ascii="Aptos" w:eastAsiaTheme="majorEastAsia" w:hAnsi="Aptos" w:cs="Segoe UI"/>
        </w:rPr>
        <w:t>should be afforded with lobby protection. </w:t>
      </w:r>
      <w:r>
        <w:rPr>
          <w:rStyle w:val="eop"/>
          <w:rFonts w:ascii="Aptos" w:eastAsiaTheme="majorEastAsia" w:hAnsi="Aptos" w:cs="Segoe UI"/>
        </w:rPr>
        <w:t> </w:t>
      </w:r>
    </w:p>
    <w:p w14:paraId="266A0EE7"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p>
    <w:p w14:paraId="0746ADAC" w14:textId="77777777" w:rsidR="001074A2" w:rsidRDefault="001074A2" w:rsidP="001074A2">
      <w:pPr>
        <w:pStyle w:val="paragraph"/>
        <w:spacing w:before="0" w:beforeAutospacing="0" w:after="0" w:afterAutospacing="0"/>
        <w:jc w:val="both"/>
        <w:textAlignment w:val="baseline"/>
        <w:rPr>
          <w:rStyle w:val="eop"/>
          <w:rFonts w:ascii="Aptos" w:eastAsiaTheme="majorEastAsia" w:hAnsi="Aptos" w:cs="Segoe UI"/>
          <w:color w:val="212121"/>
        </w:rPr>
      </w:pPr>
      <w:r>
        <w:rPr>
          <w:rStyle w:val="normaltextrun"/>
          <w:rFonts w:ascii="Aptos" w:eastAsiaTheme="majorEastAsia" w:hAnsi="Aptos" w:cs="Segoe UI"/>
          <w:color w:val="212121"/>
        </w:rPr>
        <w:t>The comments made by HIWFRS are based on conformance with the Fire Safety Order only. Therefore, additional provisions may need to be included to satisfy the Building Regulations. </w:t>
      </w:r>
      <w:r>
        <w:rPr>
          <w:rStyle w:val="eop"/>
          <w:rFonts w:ascii="Aptos" w:eastAsiaTheme="majorEastAsia" w:hAnsi="Aptos" w:cs="Segoe UI"/>
          <w:color w:val="212121"/>
        </w:rPr>
        <w:t> </w:t>
      </w:r>
    </w:p>
    <w:p w14:paraId="6BF57C71"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p>
    <w:p w14:paraId="3D8164DE" w14:textId="77777777" w:rsidR="001074A2" w:rsidRDefault="001074A2" w:rsidP="001074A2">
      <w:pPr>
        <w:pStyle w:val="paragraph"/>
        <w:spacing w:before="0" w:beforeAutospacing="0" w:after="0" w:afterAutospacing="0"/>
        <w:textAlignment w:val="baseline"/>
        <w:rPr>
          <w:rStyle w:val="eop"/>
          <w:rFonts w:ascii="Aptos" w:eastAsiaTheme="majorEastAsia" w:hAnsi="Aptos" w:cs="Segoe UI"/>
          <w:color w:val="212121"/>
        </w:rPr>
      </w:pPr>
      <w:r>
        <w:rPr>
          <w:rStyle w:val="normaltextrun"/>
          <w:rFonts w:ascii="Aptos" w:eastAsiaTheme="majorEastAsia" w:hAnsi="Aptos" w:cs="Segoe UI"/>
          <w:color w:val="212121"/>
          <w:u w:val="single"/>
        </w:rPr>
        <w:t>Issues under the Regulatory Reform (Fire Safety) Order 2005 (FSO). </w:t>
      </w:r>
      <w:r>
        <w:rPr>
          <w:rStyle w:val="eop"/>
          <w:rFonts w:ascii="Aptos" w:eastAsiaTheme="majorEastAsia" w:hAnsi="Aptos" w:cs="Segoe UI"/>
          <w:color w:val="212121"/>
        </w:rPr>
        <w:t> </w:t>
      </w:r>
    </w:p>
    <w:p w14:paraId="6AA3BF64" w14:textId="77777777" w:rsidR="001074A2" w:rsidRDefault="001074A2" w:rsidP="001074A2">
      <w:pPr>
        <w:pStyle w:val="paragraph"/>
        <w:spacing w:before="0" w:beforeAutospacing="0" w:after="0" w:afterAutospacing="0"/>
        <w:textAlignment w:val="baseline"/>
        <w:rPr>
          <w:rFonts w:ascii="Segoe UI" w:hAnsi="Segoe UI" w:cs="Segoe UI"/>
          <w:sz w:val="18"/>
          <w:szCs w:val="18"/>
        </w:rPr>
      </w:pPr>
    </w:p>
    <w:p w14:paraId="409C8086" w14:textId="77777777" w:rsidR="001074A2" w:rsidRDefault="001074A2" w:rsidP="001074A2">
      <w:pPr>
        <w:pStyle w:val="paragraph"/>
        <w:spacing w:before="0" w:beforeAutospacing="0" w:after="0" w:afterAutospacing="0"/>
        <w:jc w:val="both"/>
        <w:textAlignment w:val="baseline"/>
        <w:rPr>
          <w:rStyle w:val="normaltextrun"/>
          <w:rFonts w:ascii="Arial" w:eastAsiaTheme="majorEastAsia" w:hAnsi="Arial" w:cs="Arial"/>
        </w:rPr>
      </w:pPr>
      <w:r>
        <w:rPr>
          <w:rStyle w:val="normaltextrun"/>
          <w:rFonts w:ascii="Aptos" w:eastAsiaTheme="majorEastAsia" w:hAnsi="Aptos" w:cs="Segoe UI"/>
        </w:rPr>
        <w:t>The application,</w:t>
      </w:r>
      <w:r>
        <w:rPr>
          <w:rStyle w:val="normaltextrun"/>
          <w:rFonts w:ascii="Arial" w:eastAsiaTheme="majorEastAsia" w:hAnsi="Arial" w:cs="Arial"/>
        </w:rPr>
        <w:t> </w:t>
      </w:r>
      <w:proofErr w:type="gramStart"/>
      <w:r>
        <w:rPr>
          <w:rStyle w:val="normaltextrun"/>
          <w:rFonts w:ascii="Aptos" w:eastAsiaTheme="majorEastAsia" w:hAnsi="Aptos" w:cs="Segoe UI"/>
        </w:rPr>
        <w:t>taking into account</w:t>
      </w:r>
      <w:proofErr w:type="gramEnd"/>
      <w:r>
        <w:rPr>
          <w:rStyle w:val="normaltextrun"/>
          <w:rFonts w:ascii="Arial" w:eastAsiaTheme="majorEastAsia" w:hAnsi="Arial" w:cs="Arial"/>
        </w:rPr>
        <w:t> </w:t>
      </w:r>
      <w:r>
        <w:rPr>
          <w:rStyle w:val="normaltextrun"/>
          <w:rFonts w:ascii="Aptos" w:eastAsiaTheme="majorEastAsia" w:hAnsi="Aptos" w:cs="Segoe UI"/>
        </w:rPr>
        <w:t>the matters identified within your endorsement, the additional information provided, and subject to the satisfactory resolution of Points 1 to 8 below, the consultation</w:t>
      </w:r>
      <w:r>
        <w:rPr>
          <w:rStyle w:val="normaltextrun"/>
          <w:rFonts w:ascii="Arial" w:eastAsiaTheme="majorEastAsia" w:hAnsi="Arial" w:cs="Arial"/>
        </w:rPr>
        <w:t> </w:t>
      </w:r>
      <w:r>
        <w:rPr>
          <w:rStyle w:val="normaltextrun"/>
          <w:rFonts w:ascii="Aptos" w:eastAsiaTheme="majorEastAsia" w:hAnsi="Aptos" w:cs="Segoe UI"/>
        </w:rPr>
        <w:t>is likely to demonstrate</w:t>
      </w:r>
      <w:r>
        <w:rPr>
          <w:rStyle w:val="normaltextrun"/>
          <w:rFonts w:ascii="Arial" w:eastAsiaTheme="majorEastAsia" w:hAnsi="Arial" w:cs="Arial"/>
        </w:rPr>
        <w:t> </w:t>
      </w:r>
      <w:r>
        <w:rPr>
          <w:rStyle w:val="normaltextrun"/>
          <w:rFonts w:ascii="Aptos" w:eastAsiaTheme="majorEastAsia" w:hAnsi="Aptos" w:cs="Segoe UI"/>
        </w:rPr>
        <w:t>compliance with the Regulatory Reform (Fire Safety) Order 2005. It should be ensured that if any material amendments to the proposal as contained within this application are proposed, a further consultation is carried out.</w:t>
      </w:r>
      <w:r>
        <w:rPr>
          <w:rStyle w:val="normaltextrun"/>
          <w:rFonts w:ascii="Arial" w:eastAsiaTheme="majorEastAsia" w:hAnsi="Arial" w:cs="Arial"/>
        </w:rPr>
        <w:t>  </w:t>
      </w:r>
    </w:p>
    <w:p w14:paraId="28077A22" w14:textId="715E1019"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eop"/>
          <w:rFonts w:ascii="Aptos" w:eastAsiaTheme="majorEastAsia" w:hAnsi="Aptos" w:cs="Segoe UI"/>
        </w:rPr>
        <w:t> </w:t>
      </w:r>
    </w:p>
    <w:p w14:paraId="41E529E4" w14:textId="77777777" w:rsidR="001074A2" w:rsidRDefault="001074A2" w:rsidP="001074A2">
      <w:pPr>
        <w:pStyle w:val="paragraph"/>
        <w:numPr>
          <w:ilvl w:val="0"/>
          <w:numId w:val="1"/>
        </w:numPr>
        <w:spacing w:before="0" w:beforeAutospacing="0" w:after="0" w:afterAutospacing="0"/>
        <w:ind w:left="709" w:hanging="709"/>
        <w:jc w:val="both"/>
        <w:textAlignment w:val="baseline"/>
        <w:rPr>
          <w:rFonts w:ascii="Aptos" w:hAnsi="Aptos" w:cs="Segoe UI"/>
        </w:rPr>
      </w:pPr>
      <w:r>
        <w:rPr>
          <w:rStyle w:val="normaltextrun"/>
          <w:rFonts w:ascii="Aptos" w:eastAsiaTheme="majorEastAsia" w:hAnsi="Aptos" w:cs="Segoe UI"/>
        </w:rPr>
        <w:t>Please ensure that the fire alarm and detection system conform to BS 5839-6 / Grade A / LD1, or BS 5839-1 Category L2. The evacuation strategy should be simultaneous. The fire alarm panel should be located adjacent to the exit door from the building at ground level. </w:t>
      </w:r>
      <w:r>
        <w:rPr>
          <w:rStyle w:val="eop"/>
          <w:rFonts w:ascii="Aptos" w:eastAsiaTheme="majorEastAsia" w:hAnsi="Aptos" w:cs="Segoe UI"/>
        </w:rPr>
        <w:t> </w:t>
      </w:r>
    </w:p>
    <w:p w14:paraId="0F84EADF" w14:textId="77777777" w:rsidR="001074A2" w:rsidRPr="001074A2" w:rsidRDefault="001074A2" w:rsidP="001074A2">
      <w:pPr>
        <w:pStyle w:val="paragraph"/>
        <w:numPr>
          <w:ilvl w:val="0"/>
          <w:numId w:val="2"/>
        </w:numPr>
        <w:spacing w:before="0" w:beforeAutospacing="0" w:after="0" w:afterAutospacing="0"/>
        <w:ind w:left="709" w:hanging="709"/>
        <w:jc w:val="both"/>
        <w:textAlignment w:val="baseline"/>
        <w:rPr>
          <w:rStyle w:val="eop"/>
          <w:rFonts w:ascii="Aptos" w:hAnsi="Aptos" w:cs="Segoe UI"/>
        </w:rPr>
      </w:pPr>
      <w:r>
        <w:rPr>
          <w:rStyle w:val="normaltextrun"/>
          <w:rFonts w:ascii="Aptos" w:eastAsiaTheme="majorEastAsia" w:hAnsi="Aptos" w:cs="Segoe UI"/>
        </w:rPr>
        <w:t>Please ensure that the emergency escape lighting and fire exit signage are installed to the relevant British Standard to suit the new layout and changes.</w:t>
      </w:r>
      <w:r>
        <w:rPr>
          <w:rStyle w:val="eop"/>
          <w:rFonts w:ascii="Aptos" w:eastAsiaTheme="majorEastAsia" w:hAnsi="Aptos" w:cs="Segoe UI"/>
        </w:rPr>
        <w:t> </w:t>
      </w:r>
    </w:p>
    <w:p w14:paraId="0D86B582" w14:textId="77777777" w:rsidR="001074A2" w:rsidRDefault="001074A2" w:rsidP="001074A2">
      <w:pPr>
        <w:pStyle w:val="paragraph"/>
        <w:spacing w:before="0" w:beforeAutospacing="0" w:after="0" w:afterAutospacing="0"/>
        <w:jc w:val="both"/>
        <w:textAlignment w:val="baseline"/>
        <w:rPr>
          <w:rFonts w:ascii="Aptos" w:hAnsi="Aptos" w:cs="Segoe UI"/>
        </w:rPr>
      </w:pPr>
    </w:p>
    <w:p w14:paraId="793314B8" w14:textId="77777777" w:rsidR="001074A2" w:rsidRDefault="001074A2" w:rsidP="001074A2">
      <w:pPr>
        <w:pStyle w:val="paragraph"/>
        <w:numPr>
          <w:ilvl w:val="0"/>
          <w:numId w:val="3"/>
        </w:numPr>
        <w:spacing w:before="0" w:beforeAutospacing="0" w:after="0" w:afterAutospacing="0"/>
        <w:ind w:left="709" w:hanging="709"/>
        <w:jc w:val="both"/>
        <w:textAlignment w:val="baseline"/>
        <w:rPr>
          <w:rFonts w:ascii="Aptos" w:hAnsi="Aptos" w:cs="Segoe UI"/>
        </w:rPr>
      </w:pPr>
      <w:r>
        <w:rPr>
          <w:rStyle w:val="normaltextrun"/>
          <w:rFonts w:ascii="Aptos" w:eastAsiaTheme="majorEastAsia" w:hAnsi="Aptos" w:cs="Segoe UI"/>
        </w:rPr>
        <w:lastRenderedPageBreak/>
        <w:t>Please ensure that the escape routes are protected in construction achieving at least 30 minutes fire resistance. The doors that open onto the escape routes should be FD30S self-closing fire doors. The means of escape corridors should be kept sterile. </w:t>
      </w:r>
      <w:r>
        <w:rPr>
          <w:rStyle w:val="eop"/>
          <w:rFonts w:ascii="Aptos" w:eastAsiaTheme="majorEastAsia" w:hAnsi="Aptos" w:cs="Segoe UI"/>
        </w:rPr>
        <w:t> </w:t>
      </w:r>
    </w:p>
    <w:p w14:paraId="37AEE163" w14:textId="77777777" w:rsidR="001074A2" w:rsidRDefault="001074A2" w:rsidP="001074A2">
      <w:pPr>
        <w:pStyle w:val="paragraph"/>
        <w:numPr>
          <w:ilvl w:val="0"/>
          <w:numId w:val="4"/>
        </w:numPr>
        <w:spacing w:before="0" w:beforeAutospacing="0" w:after="0" w:afterAutospacing="0"/>
        <w:ind w:left="709" w:hanging="709"/>
        <w:jc w:val="both"/>
        <w:textAlignment w:val="baseline"/>
        <w:rPr>
          <w:rFonts w:ascii="Aptos" w:hAnsi="Aptos" w:cs="Segoe UI"/>
        </w:rPr>
      </w:pPr>
      <w:r>
        <w:rPr>
          <w:rStyle w:val="normaltextrun"/>
          <w:rFonts w:ascii="Aptos" w:eastAsiaTheme="majorEastAsia" w:hAnsi="Aptos" w:cs="Segoe UI"/>
        </w:rPr>
        <w:t>Please ensure that cooking facilities (hob, oven, etc.) are at least 1.8m away from escape routes and doors. </w:t>
      </w:r>
      <w:r>
        <w:rPr>
          <w:rStyle w:val="eop"/>
          <w:rFonts w:ascii="Aptos" w:eastAsiaTheme="majorEastAsia" w:hAnsi="Aptos" w:cs="Segoe UI"/>
        </w:rPr>
        <w:t> </w:t>
      </w:r>
    </w:p>
    <w:p w14:paraId="4B096742" w14:textId="77777777" w:rsidR="001074A2" w:rsidRDefault="001074A2" w:rsidP="001074A2">
      <w:pPr>
        <w:pStyle w:val="paragraph"/>
        <w:numPr>
          <w:ilvl w:val="0"/>
          <w:numId w:val="5"/>
        </w:numPr>
        <w:spacing w:before="0" w:beforeAutospacing="0" w:after="0" w:afterAutospacing="0"/>
        <w:ind w:left="709" w:hanging="709"/>
        <w:jc w:val="both"/>
        <w:textAlignment w:val="baseline"/>
        <w:rPr>
          <w:rFonts w:ascii="Aptos" w:hAnsi="Aptos" w:cs="Segoe UI"/>
        </w:rPr>
      </w:pPr>
      <w:r>
        <w:rPr>
          <w:rStyle w:val="normaltextrun"/>
          <w:rFonts w:ascii="Aptos" w:eastAsiaTheme="majorEastAsia" w:hAnsi="Aptos" w:cs="Segoe UI"/>
        </w:rPr>
        <w:t>Please ensure that there is a sound traditional construction between rooms. </w:t>
      </w:r>
      <w:r>
        <w:rPr>
          <w:rStyle w:val="eop"/>
          <w:rFonts w:ascii="Aptos" w:eastAsiaTheme="majorEastAsia" w:hAnsi="Aptos" w:cs="Segoe UI"/>
        </w:rPr>
        <w:t> </w:t>
      </w:r>
    </w:p>
    <w:p w14:paraId="42CB3614" w14:textId="77777777" w:rsidR="001074A2" w:rsidRDefault="001074A2" w:rsidP="001074A2">
      <w:pPr>
        <w:pStyle w:val="paragraph"/>
        <w:numPr>
          <w:ilvl w:val="0"/>
          <w:numId w:val="6"/>
        </w:numPr>
        <w:spacing w:before="0" w:beforeAutospacing="0" w:after="0" w:afterAutospacing="0"/>
        <w:ind w:left="709" w:hanging="709"/>
        <w:jc w:val="both"/>
        <w:textAlignment w:val="baseline"/>
        <w:rPr>
          <w:rFonts w:ascii="Aptos" w:hAnsi="Aptos" w:cs="Segoe UI"/>
        </w:rPr>
      </w:pPr>
      <w:r>
        <w:rPr>
          <w:rStyle w:val="normaltextrun"/>
          <w:rFonts w:ascii="Aptos" w:eastAsiaTheme="majorEastAsia" w:hAnsi="Aptos" w:cs="Segoe UI"/>
        </w:rPr>
        <w:t>Please ensure that all final exit doors lead to a place of ultimate safety (i.e. highway). </w:t>
      </w:r>
      <w:r>
        <w:rPr>
          <w:rStyle w:val="eop"/>
          <w:rFonts w:ascii="Aptos" w:eastAsiaTheme="majorEastAsia" w:hAnsi="Aptos" w:cs="Segoe UI"/>
        </w:rPr>
        <w:t> </w:t>
      </w:r>
    </w:p>
    <w:p w14:paraId="08E674B6" w14:textId="77777777" w:rsidR="001074A2" w:rsidRDefault="001074A2" w:rsidP="001074A2">
      <w:pPr>
        <w:pStyle w:val="paragraph"/>
        <w:numPr>
          <w:ilvl w:val="0"/>
          <w:numId w:val="7"/>
        </w:numPr>
        <w:spacing w:before="0" w:beforeAutospacing="0" w:after="0" w:afterAutospacing="0"/>
        <w:ind w:left="709" w:hanging="709"/>
        <w:jc w:val="both"/>
        <w:textAlignment w:val="baseline"/>
        <w:rPr>
          <w:rFonts w:ascii="Aptos" w:hAnsi="Aptos" w:cs="Segoe UI"/>
        </w:rPr>
      </w:pPr>
      <w:r>
        <w:rPr>
          <w:rStyle w:val="normaltextrun"/>
          <w:rFonts w:ascii="Aptos" w:eastAsiaTheme="majorEastAsia" w:hAnsi="Aptos" w:cs="Segoe UI"/>
        </w:rPr>
        <w:t>Please ensure that a Fire Risk Assessment is carried out by a competent fire safety professional prior to the building being occupied. </w:t>
      </w:r>
      <w:r>
        <w:rPr>
          <w:rStyle w:val="eop"/>
          <w:rFonts w:ascii="Aptos" w:eastAsiaTheme="majorEastAsia" w:hAnsi="Aptos" w:cs="Segoe UI"/>
        </w:rPr>
        <w:t> </w:t>
      </w:r>
    </w:p>
    <w:p w14:paraId="0C181C9F" w14:textId="77777777" w:rsidR="001074A2" w:rsidRDefault="001074A2" w:rsidP="001074A2">
      <w:pPr>
        <w:pStyle w:val="paragraph"/>
        <w:numPr>
          <w:ilvl w:val="0"/>
          <w:numId w:val="8"/>
        </w:numPr>
        <w:spacing w:before="0" w:beforeAutospacing="0" w:after="0" w:afterAutospacing="0"/>
        <w:ind w:left="709" w:hanging="709"/>
        <w:jc w:val="both"/>
        <w:textAlignment w:val="baseline"/>
        <w:rPr>
          <w:rFonts w:ascii="Aptos" w:hAnsi="Aptos" w:cs="Segoe UI"/>
        </w:rPr>
      </w:pPr>
      <w:r>
        <w:rPr>
          <w:rStyle w:val="normaltextrun"/>
          <w:rFonts w:ascii="Aptos" w:eastAsiaTheme="majorEastAsia" w:hAnsi="Aptos" w:cs="Segoe UI"/>
        </w:rPr>
        <w:t>Reliance on escape windows [such as with inner-room bedroom arrangements]</w:t>
      </w:r>
      <w:r>
        <w:rPr>
          <w:rStyle w:val="eop"/>
          <w:rFonts w:ascii="Aptos" w:eastAsiaTheme="majorEastAsia" w:hAnsi="Aptos" w:cs="Segoe UI"/>
        </w:rPr>
        <w:t> </w:t>
      </w:r>
    </w:p>
    <w:p w14:paraId="140EC393" w14:textId="77777777" w:rsidR="001074A2" w:rsidRDefault="001074A2" w:rsidP="001074A2">
      <w:pPr>
        <w:pStyle w:val="paragraph"/>
        <w:spacing w:before="0" w:beforeAutospacing="0" w:after="0" w:afterAutospacing="0"/>
        <w:ind w:left="709"/>
        <w:jc w:val="both"/>
        <w:textAlignment w:val="baseline"/>
        <w:rPr>
          <w:rFonts w:ascii="Segoe UI" w:hAnsi="Segoe UI" w:cs="Segoe UI"/>
          <w:sz w:val="18"/>
          <w:szCs w:val="18"/>
        </w:rPr>
      </w:pPr>
      <w:r>
        <w:rPr>
          <w:rStyle w:val="normaltextrun"/>
          <w:rFonts w:ascii="Aptos" w:eastAsiaTheme="majorEastAsia" w:hAnsi="Aptos" w:cs="Segoe UI"/>
        </w:rPr>
        <w:t>Escape windows are only referred to in ADB v1 (Dwellings).  Escape windows are not referred to in ADB v2 (Buildings other than dwellings).  ADB v1 and V2, Table 0.1 indicates that Purpose Group 2 is addressed under ADB v2.  HIWFRS therefore considers that for HMOs providing greater than six bedspaces, escape windows are not indicated by the ADB documents. </w:t>
      </w:r>
      <w:r>
        <w:rPr>
          <w:rStyle w:val="eop"/>
          <w:rFonts w:ascii="Aptos" w:eastAsiaTheme="majorEastAsia" w:hAnsi="Aptos" w:cs="Segoe UI"/>
        </w:rPr>
        <w:t> </w:t>
      </w:r>
    </w:p>
    <w:p w14:paraId="1571A0A4" w14:textId="77777777" w:rsidR="001074A2" w:rsidRDefault="001074A2" w:rsidP="001074A2">
      <w:pPr>
        <w:pStyle w:val="paragraph"/>
        <w:spacing w:before="0" w:beforeAutospacing="0" w:after="0" w:afterAutospacing="0"/>
        <w:ind w:left="709"/>
        <w:jc w:val="both"/>
        <w:textAlignment w:val="baseline"/>
        <w:rPr>
          <w:rFonts w:ascii="Segoe UI" w:hAnsi="Segoe UI" w:cs="Segoe UI"/>
          <w:sz w:val="18"/>
          <w:szCs w:val="18"/>
        </w:rPr>
      </w:pPr>
      <w:r>
        <w:rPr>
          <w:rStyle w:val="normaltextrun"/>
          <w:rFonts w:ascii="Aptos" w:eastAsiaTheme="majorEastAsia" w:hAnsi="Aptos" w:cs="Segoe UI"/>
        </w:rPr>
        <w:t>LACORS refers to existing premises and recommends against the use of escape windows in many HMOs.  This guidance specifically prohibits the use of any locking devices on these windows and requires the landlord to ensure tenants are able-bodied individuals with no high-risk characteristics.  </w:t>
      </w:r>
      <w:r>
        <w:rPr>
          <w:rStyle w:val="eop"/>
          <w:rFonts w:ascii="Aptos" w:eastAsiaTheme="majorEastAsia" w:hAnsi="Aptos" w:cs="Segoe UI"/>
        </w:rPr>
        <w:t> </w:t>
      </w:r>
    </w:p>
    <w:p w14:paraId="3B72D424" w14:textId="77777777" w:rsidR="001074A2" w:rsidRDefault="001074A2" w:rsidP="001074A2">
      <w:pPr>
        <w:pStyle w:val="paragraph"/>
        <w:spacing w:before="0" w:beforeAutospacing="0" w:after="0" w:afterAutospacing="0"/>
        <w:ind w:left="709"/>
        <w:jc w:val="both"/>
        <w:textAlignment w:val="baseline"/>
        <w:rPr>
          <w:rStyle w:val="normaltextrun"/>
          <w:rFonts w:ascii="Aptos" w:eastAsiaTheme="majorEastAsia" w:hAnsi="Aptos" w:cs="Segoe UI"/>
        </w:rPr>
      </w:pPr>
      <w:r>
        <w:rPr>
          <w:rStyle w:val="normaltextrun"/>
          <w:rFonts w:ascii="Aptos" w:eastAsiaTheme="majorEastAsia" w:hAnsi="Aptos" w:cs="Segoe UI"/>
        </w:rPr>
        <w:t>Consideration should be given to the impact of an accident, injury or illness that impairs the mobility or capability of the occupant either temporarily or permanently.  In this case it is unlikely that the resident can be immediately relocated to alternative accommodation or prevented from sleeping in the room they have a tenancy agreement for.  In this case, if the resident continues to sleep in this area despite not being capable of utilising the escape window, it is likely that the landlord will be failing in their duties under Article 14 of the Fire Safety Order.</w:t>
      </w:r>
    </w:p>
    <w:p w14:paraId="432C7CEF" w14:textId="26F260A8" w:rsidR="001074A2" w:rsidRDefault="001074A2" w:rsidP="001074A2">
      <w:pPr>
        <w:pStyle w:val="paragraph"/>
        <w:spacing w:before="0" w:beforeAutospacing="0" w:after="0" w:afterAutospacing="0"/>
        <w:ind w:left="709"/>
        <w:jc w:val="both"/>
        <w:textAlignment w:val="baseline"/>
        <w:rPr>
          <w:rFonts w:ascii="Segoe UI" w:hAnsi="Segoe UI" w:cs="Segoe UI"/>
          <w:sz w:val="18"/>
          <w:szCs w:val="18"/>
        </w:rPr>
      </w:pPr>
      <w:r>
        <w:rPr>
          <w:rStyle w:val="eop"/>
          <w:rFonts w:ascii="Aptos" w:eastAsiaTheme="majorEastAsia" w:hAnsi="Aptos" w:cs="Segoe UI"/>
        </w:rPr>
        <w:t> </w:t>
      </w:r>
    </w:p>
    <w:p w14:paraId="1CC1AFFF" w14:textId="77777777" w:rsidR="001074A2" w:rsidRDefault="001074A2" w:rsidP="001074A2">
      <w:pPr>
        <w:pStyle w:val="paragraph"/>
        <w:spacing w:before="0" w:beforeAutospacing="0" w:after="0" w:afterAutospacing="0"/>
        <w:ind w:left="709"/>
        <w:jc w:val="both"/>
        <w:textAlignment w:val="baseline"/>
        <w:rPr>
          <w:rStyle w:val="eop"/>
          <w:rFonts w:ascii="Aptos" w:eastAsiaTheme="majorEastAsia" w:hAnsi="Aptos" w:cs="Segoe UI"/>
        </w:rPr>
      </w:pPr>
      <w:r>
        <w:rPr>
          <w:rStyle w:val="normaltextrun"/>
          <w:rFonts w:ascii="Aptos" w:eastAsiaTheme="majorEastAsia" w:hAnsi="Aptos" w:cs="Segoe UI"/>
        </w:rPr>
        <w:t>Reference is made to Section 0.6 of Approved Document B, which states that unrealistic or unsustainable management arrangements cannot be considered to have met the requirements of the regulations.  Given the matters identified above, it is unclear how this arrangement can be considered a realistic or sustainable management arrangement.</w:t>
      </w:r>
      <w:r>
        <w:rPr>
          <w:rStyle w:val="eop"/>
          <w:rFonts w:ascii="Aptos" w:eastAsiaTheme="majorEastAsia" w:hAnsi="Aptos" w:cs="Segoe UI"/>
        </w:rPr>
        <w:t> </w:t>
      </w:r>
    </w:p>
    <w:p w14:paraId="421C0C4C" w14:textId="77777777" w:rsidR="001074A2" w:rsidRDefault="001074A2" w:rsidP="001074A2">
      <w:pPr>
        <w:pStyle w:val="paragraph"/>
        <w:spacing w:before="0" w:beforeAutospacing="0" w:after="0" w:afterAutospacing="0"/>
        <w:ind w:left="709"/>
        <w:jc w:val="both"/>
        <w:textAlignment w:val="baseline"/>
        <w:rPr>
          <w:rFonts w:ascii="Segoe UI" w:hAnsi="Segoe UI" w:cs="Segoe UI"/>
          <w:sz w:val="18"/>
          <w:szCs w:val="18"/>
        </w:rPr>
      </w:pPr>
    </w:p>
    <w:p w14:paraId="4D8994F0" w14:textId="77777777" w:rsidR="001074A2" w:rsidRDefault="001074A2" w:rsidP="001074A2">
      <w:pPr>
        <w:pStyle w:val="paragraph"/>
        <w:spacing w:before="0" w:beforeAutospacing="0" w:after="0" w:afterAutospacing="0"/>
        <w:ind w:left="709"/>
        <w:jc w:val="both"/>
        <w:textAlignment w:val="baseline"/>
        <w:rPr>
          <w:rFonts w:ascii="Segoe UI" w:hAnsi="Segoe UI" w:cs="Segoe UI"/>
          <w:sz w:val="18"/>
          <w:szCs w:val="18"/>
        </w:rPr>
      </w:pPr>
      <w:r>
        <w:rPr>
          <w:rStyle w:val="normaltextrun"/>
          <w:rFonts w:ascii="Aptos" w:eastAsiaTheme="majorEastAsia" w:hAnsi="Aptos" w:cs="Segoe UI"/>
        </w:rPr>
        <w:t>The Building Control Body is invited to reconsider this arrangement and provide justification as to how this arrangement can be considered tolerable under the Building Regulations 2010, The Regulatory Reform (Fire Safety) Order 2005, and the Housing Act 2004.  </w:t>
      </w:r>
      <w:r>
        <w:rPr>
          <w:rStyle w:val="eop"/>
          <w:rFonts w:ascii="Aptos" w:eastAsiaTheme="majorEastAsia" w:hAnsi="Aptos" w:cs="Segoe UI"/>
        </w:rPr>
        <w:t> </w:t>
      </w:r>
    </w:p>
    <w:p w14:paraId="3223AA15" w14:textId="77777777" w:rsidR="001074A2" w:rsidRDefault="001074A2" w:rsidP="001074A2">
      <w:pPr>
        <w:pStyle w:val="paragraph"/>
        <w:spacing w:before="0" w:beforeAutospacing="0" w:after="0" w:afterAutospacing="0"/>
        <w:ind w:left="709"/>
        <w:jc w:val="both"/>
        <w:textAlignment w:val="baseline"/>
        <w:rPr>
          <w:rFonts w:ascii="Segoe UI" w:hAnsi="Segoe UI" w:cs="Segoe UI"/>
          <w:sz w:val="18"/>
          <w:szCs w:val="18"/>
        </w:rPr>
      </w:pPr>
      <w:r>
        <w:rPr>
          <w:rStyle w:val="eop"/>
          <w:rFonts w:ascii="Aptos" w:eastAsiaTheme="majorEastAsia" w:hAnsi="Aptos" w:cs="Segoe UI"/>
        </w:rPr>
        <w:t> </w:t>
      </w:r>
    </w:p>
    <w:p w14:paraId="1D40BAE0" w14:textId="77777777" w:rsidR="001074A2" w:rsidRDefault="001074A2" w:rsidP="001074A2">
      <w:pPr>
        <w:pStyle w:val="paragraph"/>
        <w:spacing w:before="0" w:beforeAutospacing="0" w:after="0" w:afterAutospacing="0"/>
        <w:textAlignment w:val="baseline"/>
        <w:rPr>
          <w:rFonts w:ascii="Segoe UI" w:hAnsi="Segoe UI" w:cs="Segoe UI"/>
          <w:sz w:val="18"/>
          <w:szCs w:val="18"/>
        </w:rPr>
      </w:pPr>
      <w:r>
        <w:rPr>
          <w:rStyle w:val="eop"/>
          <w:rFonts w:ascii="Aptos" w:eastAsiaTheme="majorEastAsia" w:hAnsi="Aptos" w:cs="Segoe UI"/>
        </w:rPr>
        <w:t> </w:t>
      </w:r>
    </w:p>
    <w:p w14:paraId="49381D69" w14:textId="77777777" w:rsidR="001074A2" w:rsidRDefault="001074A2" w:rsidP="001074A2">
      <w:pPr>
        <w:pStyle w:val="paragraph"/>
        <w:spacing w:before="0" w:beforeAutospacing="0" w:after="0" w:afterAutospacing="0"/>
        <w:jc w:val="both"/>
        <w:textAlignment w:val="baseline"/>
        <w:rPr>
          <w:rStyle w:val="normaltextrun"/>
          <w:rFonts w:ascii="Aptos" w:eastAsiaTheme="majorEastAsia" w:hAnsi="Aptos" w:cs="Segoe UI"/>
          <w:b/>
          <w:bCs/>
        </w:rPr>
      </w:pPr>
    </w:p>
    <w:p w14:paraId="3DE8B537" w14:textId="77777777" w:rsidR="001074A2" w:rsidRDefault="001074A2" w:rsidP="001074A2">
      <w:pPr>
        <w:pStyle w:val="paragraph"/>
        <w:spacing w:before="0" w:beforeAutospacing="0" w:after="0" w:afterAutospacing="0"/>
        <w:jc w:val="both"/>
        <w:textAlignment w:val="baseline"/>
        <w:rPr>
          <w:rStyle w:val="normaltextrun"/>
          <w:rFonts w:ascii="Aptos" w:eastAsiaTheme="majorEastAsia" w:hAnsi="Aptos" w:cs="Segoe UI"/>
          <w:b/>
          <w:bCs/>
        </w:rPr>
      </w:pPr>
    </w:p>
    <w:p w14:paraId="052CBDC5" w14:textId="77777777" w:rsidR="001074A2" w:rsidRDefault="001074A2" w:rsidP="001074A2">
      <w:pPr>
        <w:pStyle w:val="paragraph"/>
        <w:spacing w:before="0" w:beforeAutospacing="0" w:after="0" w:afterAutospacing="0"/>
        <w:jc w:val="both"/>
        <w:textAlignment w:val="baseline"/>
        <w:rPr>
          <w:rStyle w:val="normaltextrun"/>
          <w:rFonts w:ascii="Aptos" w:eastAsiaTheme="majorEastAsia" w:hAnsi="Aptos" w:cs="Segoe UI"/>
          <w:b/>
          <w:bCs/>
        </w:rPr>
      </w:pPr>
    </w:p>
    <w:p w14:paraId="59002C1B" w14:textId="77777777" w:rsidR="001074A2" w:rsidRDefault="001074A2" w:rsidP="001074A2">
      <w:pPr>
        <w:pStyle w:val="paragraph"/>
        <w:spacing w:before="0" w:beforeAutospacing="0" w:after="0" w:afterAutospacing="0"/>
        <w:jc w:val="both"/>
        <w:textAlignment w:val="baseline"/>
        <w:rPr>
          <w:rStyle w:val="normaltextrun"/>
          <w:rFonts w:ascii="Aptos" w:eastAsiaTheme="majorEastAsia" w:hAnsi="Aptos" w:cs="Segoe UI"/>
          <w:b/>
          <w:bCs/>
        </w:rPr>
      </w:pPr>
    </w:p>
    <w:p w14:paraId="4A04B689" w14:textId="77777777" w:rsidR="001074A2" w:rsidRDefault="001074A2" w:rsidP="001074A2">
      <w:pPr>
        <w:pStyle w:val="paragraph"/>
        <w:spacing w:before="0" w:beforeAutospacing="0" w:after="0" w:afterAutospacing="0"/>
        <w:jc w:val="both"/>
        <w:textAlignment w:val="baseline"/>
        <w:rPr>
          <w:rStyle w:val="normaltextrun"/>
          <w:rFonts w:ascii="Aptos" w:eastAsiaTheme="majorEastAsia" w:hAnsi="Aptos" w:cs="Segoe UI"/>
          <w:b/>
          <w:bCs/>
        </w:rPr>
      </w:pPr>
    </w:p>
    <w:p w14:paraId="574DF5A5" w14:textId="31DB739F" w:rsidR="001074A2" w:rsidRDefault="001074A2" w:rsidP="001074A2">
      <w:pPr>
        <w:pStyle w:val="paragraph"/>
        <w:spacing w:before="0" w:beforeAutospacing="0" w:after="0" w:afterAutospacing="0"/>
        <w:jc w:val="both"/>
        <w:textAlignment w:val="baseline"/>
        <w:rPr>
          <w:rStyle w:val="eop"/>
          <w:rFonts w:ascii="Aptos" w:eastAsiaTheme="majorEastAsia" w:hAnsi="Aptos" w:cs="Segoe UI"/>
        </w:rPr>
      </w:pPr>
      <w:r>
        <w:rPr>
          <w:rStyle w:val="normaltextrun"/>
          <w:rFonts w:ascii="Aptos" w:eastAsiaTheme="majorEastAsia" w:hAnsi="Aptos" w:cs="Segoe UI"/>
          <w:b/>
          <w:bCs/>
        </w:rPr>
        <w:lastRenderedPageBreak/>
        <w:t>General Guidance in respect of Planning Applications deemed to present a low- or medium- level of risk. </w:t>
      </w:r>
      <w:r>
        <w:rPr>
          <w:rStyle w:val="eop"/>
          <w:rFonts w:ascii="Aptos" w:eastAsiaTheme="majorEastAsia" w:hAnsi="Aptos" w:cs="Segoe UI"/>
        </w:rPr>
        <w:t> </w:t>
      </w:r>
    </w:p>
    <w:p w14:paraId="1E543183"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p>
    <w:p w14:paraId="64D5A5B6"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b/>
          <w:bCs/>
        </w:rPr>
        <w:t>Access for Fire Appliances</w:t>
      </w:r>
      <w:r>
        <w:rPr>
          <w:rStyle w:val="eop"/>
          <w:rFonts w:ascii="Arial" w:eastAsiaTheme="majorEastAsia" w:hAnsi="Arial" w:cs="Arial"/>
        </w:rPr>
        <w:t> </w:t>
      </w:r>
    </w:p>
    <w:p w14:paraId="73433119"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rPr>
        <w:t> </w:t>
      </w:r>
      <w:r>
        <w:rPr>
          <w:rStyle w:val="eop"/>
          <w:rFonts w:ascii="Arial" w:eastAsiaTheme="majorEastAsia" w:hAnsi="Arial" w:cs="Arial"/>
        </w:rPr>
        <w:t> </w:t>
      </w:r>
    </w:p>
    <w:p w14:paraId="73BF8131"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rPr>
        <w:t>Vehicular access to each building on-site should conform to the guidance contained within the relevant version of Approved Document B.  Whilst it is acknowledged that Building Regulations guidance is not typically considered at the planning stage, it is observed that road layouts may be difficult to alter once planning permission is granted.  </w:t>
      </w:r>
      <w:r>
        <w:rPr>
          <w:rStyle w:val="eop"/>
          <w:rFonts w:ascii="Arial" w:eastAsiaTheme="majorEastAsia" w:hAnsi="Arial" w:cs="Arial"/>
        </w:rPr>
        <w:t> </w:t>
      </w:r>
    </w:p>
    <w:p w14:paraId="14CC3169"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rPr>
        <w:t> </w:t>
      </w:r>
      <w:r>
        <w:rPr>
          <w:rStyle w:val="eop"/>
          <w:rFonts w:ascii="Arial" w:eastAsiaTheme="majorEastAsia" w:hAnsi="Arial" w:cs="Arial"/>
        </w:rPr>
        <w:t> </w:t>
      </w:r>
    </w:p>
    <w:p w14:paraId="78903F51"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rPr>
        <w:t>It is therefore strongly recommended that the roadway layouts be reviewed in line with this guidance to resolve any perceived issues at an early stage.</w:t>
      </w:r>
      <w:r>
        <w:rPr>
          <w:rStyle w:val="eop"/>
          <w:rFonts w:ascii="Arial" w:eastAsiaTheme="majorEastAsia" w:hAnsi="Arial" w:cs="Arial"/>
        </w:rPr>
        <w:t> </w:t>
      </w:r>
    </w:p>
    <w:p w14:paraId="50D9ECC7"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rPr>
        <w:t> </w:t>
      </w:r>
      <w:r>
        <w:rPr>
          <w:rStyle w:val="eop"/>
          <w:rFonts w:ascii="Arial" w:eastAsiaTheme="majorEastAsia" w:hAnsi="Arial" w:cs="Arial"/>
        </w:rPr>
        <w:t> </w:t>
      </w:r>
    </w:p>
    <w:p w14:paraId="535D6CED"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b/>
          <w:bCs/>
        </w:rPr>
        <w:t>Access for High-reach Appliances </w:t>
      </w:r>
      <w:r>
        <w:rPr>
          <w:rStyle w:val="eop"/>
          <w:rFonts w:ascii="Arial" w:eastAsiaTheme="majorEastAsia" w:hAnsi="Arial" w:cs="Arial"/>
        </w:rPr>
        <w:t> </w:t>
      </w:r>
    </w:p>
    <w:p w14:paraId="4228A9BF"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rPr>
        <w:t> </w:t>
      </w:r>
      <w:r>
        <w:rPr>
          <w:rStyle w:val="eop"/>
          <w:rFonts w:ascii="Arial" w:eastAsiaTheme="majorEastAsia" w:hAnsi="Arial" w:cs="Arial"/>
        </w:rPr>
        <w:t> </w:t>
      </w:r>
    </w:p>
    <w:p w14:paraId="2D04E293"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rPr>
        <w:t>High reach appliances currently operated by the HIWFRS exceed the maximum requirements given in Section 17 of the Approved Document B. When considering high rise buildings these variations should be considered as additions and incorporated as follows.  Structures such as bridges, which a high-reach appliance may need to cross should have a maximum carrying capacity of 26 tonnes. Where the operation of a high reach vehicle is envisaged, a road or hard standing is required 6m wide.  In addition, the road or hard standing needs to be positioned so that its nearer edge is not less than 3m from the face of the building. </w:t>
      </w:r>
      <w:r>
        <w:rPr>
          <w:rStyle w:val="eop"/>
          <w:rFonts w:ascii="Arial" w:eastAsiaTheme="majorEastAsia" w:hAnsi="Arial" w:cs="Arial"/>
        </w:rPr>
        <w:t> </w:t>
      </w:r>
    </w:p>
    <w:p w14:paraId="2F74E13E"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rPr>
        <w:t> </w:t>
      </w:r>
      <w:r>
        <w:rPr>
          <w:rStyle w:val="eop"/>
          <w:rFonts w:ascii="Arial" w:eastAsiaTheme="majorEastAsia" w:hAnsi="Arial" w:cs="Arial"/>
        </w:rPr>
        <w:t> </w:t>
      </w:r>
    </w:p>
    <w:p w14:paraId="31F1D813"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b/>
          <w:bCs/>
        </w:rPr>
        <w:t>Water Supplies </w:t>
      </w:r>
      <w:r>
        <w:rPr>
          <w:rStyle w:val="eop"/>
          <w:rFonts w:ascii="Arial" w:eastAsiaTheme="majorEastAsia" w:hAnsi="Arial" w:cs="Arial"/>
        </w:rPr>
        <w:t> </w:t>
      </w:r>
    </w:p>
    <w:p w14:paraId="25FB0E7F"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rPr>
        <w:t> </w:t>
      </w:r>
      <w:r>
        <w:rPr>
          <w:rStyle w:val="eop"/>
          <w:rFonts w:ascii="Arial" w:eastAsiaTheme="majorEastAsia" w:hAnsi="Arial" w:cs="Arial"/>
        </w:rPr>
        <w:t> </w:t>
      </w:r>
    </w:p>
    <w:p w14:paraId="2B67DD74"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rPr>
        <w:t>Additional water supplies for firefighting may be necessary. You should contact the Water Management Team, Hampshire &amp; IOW Fire and Rescue Headquarters, Leigh Road, Eastleigh, SO50 9SJ (</w:t>
      </w:r>
      <w:hyperlink r:id="rId5" w:tgtFrame="_blank" w:history="1">
        <w:r>
          <w:rPr>
            <w:rStyle w:val="normaltextrun"/>
            <w:rFonts w:ascii="Arial" w:eastAsiaTheme="majorEastAsia" w:hAnsi="Arial" w:cs="Arial"/>
            <w:color w:val="467886"/>
            <w:u w:val="single"/>
          </w:rPr>
          <w:t>hydrants@hantsfire.gov.uk</w:t>
        </w:r>
      </w:hyperlink>
      <w:r>
        <w:rPr>
          <w:rStyle w:val="normaltextrun"/>
          <w:rFonts w:ascii="Arial" w:eastAsiaTheme="majorEastAsia" w:hAnsi="Arial" w:cs="Arial"/>
        </w:rPr>
        <w:t>) to discuss your proposals.</w:t>
      </w:r>
      <w:r>
        <w:rPr>
          <w:rStyle w:val="eop"/>
          <w:rFonts w:ascii="Arial" w:eastAsiaTheme="majorEastAsia" w:hAnsi="Arial" w:cs="Arial"/>
        </w:rPr>
        <w:t> </w:t>
      </w:r>
    </w:p>
    <w:p w14:paraId="4AA77146"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rPr>
        <w:t> </w:t>
      </w:r>
      <w:r>
        <w:rPr>
          <w:rStyle w:val="eop"/>
          <w:rFonts w:ascii="Arial" w:eastAsiaTheme="majorEastAsia" w:hAnsi="Arial" w:cs="Arial"/>
        </w:rPr>
        <w:t> </w:t>
      </w:r>
    </w:p>
    <w:p w14:paraId="14B164DF"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b/>
          <w:bCs/>
        </w:rPr>
        <w:t>Fire Protection </w:t>
      </w:r>
      <w:r>
        <w:rPr>
          <w:rStyle w:val="eop"/>
          <w:rFonts w:ascii="Arial" w:eastAsiaTheme="majorEastAsia" w:hAnsi="Arial" w:cs="Arial"/>
        </w:rPr>
        <w:t> </w:t>
      </w:r>
    </w:p>
    <w:p w14:paraId="74777BB3"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b/>
          <w:bCs/>
        </w:rPr>
        <w:t> </w:t>
      </w:r>
      <w:r>
        <w:rPr>
          <w:rStyle w:val="eop"/>
          <w:rFonts w:ascii="Arial" w:eastAsiaTheme="majorEastAsia" w:hAnsi="Arial" w:cs="Arial"/>
        </w:rPr>
        <w:t> </w:t>
      </w:r>
    </w:p>
    <w:p w14:paraId="26D1872D"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rPr>
        <w:t>HIWFRS would strongly recommend that consideration is given to the installation of Automatic Water Fire Suppression Systems (AWFSS) to promote life safety and property protection within the premises.</w:t>
      </w:r>
      <w:r>
        <w:rPr>
          <w:rStyle w:val="eop"/>
          <w:rFonts w:ascii="Arial" w:eastAsiaTheme="majorEastAsia" w:hAnsi="Arial" w:cs="Arial"/>
        </w:rPr>
        <w:t> </w:t>
      </w:r>
    </w:p>
    <w:p w14:paraId="4F3B9AA5"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rPr>
        <w:t> </w:t>
      </w:r>
      <w:r>
        <w:rPr>
          <w:rStyle w:val="eop"/>
          <w:rFonts w:ascii="Arial" w:eastAsiaTheme="majorEastAsia" w:hAnsi="Arial" w:cs="Arial"/>
        </w:rPr>
        <w:t> </w:t>
      </w:r>
    </w:p>
    <w:p w14:paraId="3CA888DA"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rPr>
        <w:t>HIWFRS is fully committed to promoting Fire Protection Systems for both business and domestic premises. Support is offered to assist all in achieving a reduction of loss of life and the impact of fire on the wider community.</w:t>
      </w:r>
      <w:r>
        <w:rPr>
          <w:rStyle w:val="eop"/>
          <w:rFonts w:ascii="Arial" w:eastAsiaTheme="majorEastAsia" w:hAnsi="Arial" w:cs="Arial"/>
        </w:rPr>
        <w:t> </w:t>
      </w:r>
    </w:p>
    <w:p w14:paraId="2896F607"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rPr>
        <w:t> </w:t>
      </w:r>
    </w:p>
    <w:p w14:paraId="607F7D1B" w14:textId="4F65D765"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rPr>
        <w:t>  </w:t>
      </w:r>
    </w:p>
    <w:p w14:paraId="15EF6654" w14:textId="5DC3BBDA"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b/>
          <w:bCs/>
        </w:rPr>
        <w:t>Firefighting and the Environment</w:t>
      </w:r>
      <w:r>
        <w:rPr>
          <w:rStyle w:val="eop"/>
          <w:rFonts w:ascii="Arial" w:eastAsiaTheme="majorEastAsia" w:hAnsi="Arial" w:cs="Arial"/>
        </w:rPr>
        <w:t> </w:t>
      </w:r>
    </w:p>
    <w:p w14:paraId="1C355F1D"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b/>
          <w:bCs/>
        </w:rPr>
        <w:t> </w:t>
      </w:r>
      <w:r>
        <w:rPr>
          <w:rStyle w:val="eop"/>
          <w:rFonts w:ascii="Arial" w:eastAsiaTheme="majorEastAsia" w:hAnsi="Arial" w:cs="Arial"/>
        </w:rPr>
        <w:t> </w:t>
      </w:r>
    </w:p>
    <w:p w14:paraId="468E90A9" w14:textId="77777777" w:rsidR="001074A2" w:rsidRDefault="001074A2" w:rsidP="001074A2">
      <w:pPr>
        <w:pStyle w:val="paragraph"/>
        <w:spacing w:before="0" w:beforeAutospacing="0" w:after="0" w:afterAutospacing="0"/>
        <w:ind w:right="75"/>
        <w:jc w:val="both"/>
        <w:textAlignment w:val="baseline"/>
        <w:rPr>
          <w:rFonts w:ascii="Segoe UI" w:hAnsi="Segoe UI" w:cs="Segoe UI"/>
          <w:sz w:val="18"/>
          <w:szCs w:val="18"/>
        </w:rPr>
      </w:pPr>
      <w:r>
        <w:rPr>
          <w:rStyle w:val="normaltextrun"/>
          <w:rFonts w:ascii="Arial" w:eastAsiaTheme="majorEastAsia" w:hAnsi="Arial" w:cs="Arial"/>
        </w:rPr>
        <w:t>Should a serious unsuppressed fire occur on the premises, the water environment may become polluted with ‘fire water run-off’ that may include foam. The Service will liaise with the Environment Agency at any incident where they are in attendance and under certain circumstances, where there is a serious risk to the environment, a ‘controlled burn’ may take place. This of course could lead to the total loss of the building and its contents.</w:t>
      </w:r>
      <w:r>
        <w:rPr>
          <w:rStyle w:val="eop"/>
          <w:rFonts w:ascii="Arial" w:eastAsiaTheme="majorEastAsia" w:hAnsi="Arial" w:cs="Arial"/>
        </w:rPr>
        <w:t> </w:t>
      </w:r>
    </w:p>
    <w:p w14:paraId="665074EA" w14:textId="77777777" w:rsidR="001074A2" w:rsidRDefault="001074A2" w:rsidP="001074A2">
      <w:pPr>
        <w:pStyle w:val="paragraph"/>
        <w:spacing w:before="0" w:beforeAutospacing="0" w:after="0" w:afterAutospacing="0"/>
        <w:ind w:right="75"/>
        <w:jc w:val="both"/>
        <w:textAlignment w:val="baseline"/>
        <w:rPr>
          <w:rFonts w:ascii="Segoe UI" w:hAnsi="Segoe UI" w:cs="Segoe UI"/>
          <w:sz w:val="18"/>
          <w:szCs w:val="18"/>
        </w:rPr>
      </w:pPr>
      <w:r>
        <w:rPr>
          <w:rStyle w:val="normaltextrun"/>
          <w:rFonts w:ascii="Arial" w:eastAsiaTheme="majorEastAsia" w:hAnsi="Arial" w:cs="Arial"/>
        </w:rPr>
        <w:lastRenderedPageBreak/>
        <w:t> </w:t>
      </w:r>
      <w:r>
        <w:rPr>
          <w:rStyle w:val="eop"/>
          <w:rFonts w:ascii="Arial" w:eastAsiaTheme="majorEastAsia" w:hAnsi="Arial" w:cs="Arial"/>
        </w:rPr>
        <w:t> </w:t>
      </w:r>
    </w:p>
    <w:p w14:paraId="37A226D3"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rPr>
        <w:t>Premises’ occupiers have a duty to prevent and mitigate damage to the water environment from ‘fire water run off’ and other spillages.</w:t>
      </w:r>
      <w:r>
        <w:rPr>
          <w:rStyle w:val="eop"/>
          <w:rFonts w:ascii="Arial" w:eastAsiaTheme="majorEastAsia" w:hAnsi="Arial" w:cs="Arial"/>
        </w:rPr>
        <w:t> </w:t>
      </w:r>
    </w:p>
    <w:p w14:paraId="62B8431E"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rPr>
        <w:t> </w:t>
      </w:r>
    </w:p>
    <w:p w14:paraId="51F3C744"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b/>
          <w:bCs/>
        </w:rPr>
        <w:t>Timber-framed Buildings</w:t>
      </w:r>
      <w:r>
        <w:rPr>
          <w:rStyle w:val="eop"/>
          <w:rFonts w:ascii="Arial" w:eastAsiaTheme="majorEastAsia" w:hAnsi="Arial" w:cs="Arial"/>
        </w:rPr>
        <w:t> </w:t>
      </w:r>
    </w:p>
    <w:p w14:paraId="10304EBA"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b/>
          <w:bCs/>
        </w:rPr>
        <w:t> </w:t>
      </w:r>
      <w:r>
        <w:rPr>
          <w:rStyle w:val="eop"/>
          <w:rFonts w:ascii="Arial" w:eastAsiaTheme="majorEastAsia" w:hAnsi="Arial" w:cs="Arial"/>
        </w:rPr>
        <w:t> </w:t>
      </w:r>
    </w:p>
    <w:p w14:paraId="2848F2F0" w14:textId="77777777" w:rsidR="001074A2" w:rsidRDefault="001074A2" w:rsidP="001074A2">
      <w:pPr>
        <w:pStyle w:val="paragraph"/>
        <w:spacing w:before="0" w:beforeAutospacing="0" w:after="0" w:afterAutospacing="0"/>
        <w:ind w:right="75"/>
        <w:jc w:val="both"/>
        <w:textAlignment w:val="baseline"/>
        <w:rPr>
          <w:rFonts w:ascii="Segoe UI" w:hAnsi="Segoe UI" w:cs="Segoe UI"/>
          <w:sz w:val="18"/>
          <w:szCs w:val="18"/>
        </w:rPr>
      </w:pPr>
      <w:r>
        <w:rPr>
          <w:rStyle w:val="normaltextrun"/>
          <w:rFonts w:ascii="Arial" w:eastAsiaTheme="majorEastAsia" w:hAnsi="Arial" w:cs="Arial"/>
        </w:rPr>
        <w:t>These types of buildings are particularly vulnerable to severe fire damage and fire spread during the construction phase.</w:t>
      </w:r>
      <w:r>
        <w:rPr>
          <w:rStyle w:val="eop"/>
          <w:rFonts w:ascii="Arial" w:eastAsiaTheme="majorEastAsia" w:hAnsi="Arial" w:cs="Arial"/>
        </w:rPr>
        <w:t> </w:t>
      </w:r>
    </w:p>
    <w:p w14:paraId="119CB1F7" w14:textId="77777777" w:rsidR="001074A2" w:rsidRDefault="001074A2" w:rsidP="001074A2">
      <w:pPr>
        <w:pStyle w:val="paragraph"/>
        <w:spacing w:before="0" w:beforeAutospacing="0" w:after="0" w:afterAutospacing="0"/>
        <w:ind w:right="75"/>
        <w:jc w:val="both"/>
        <w:textAlignment w:val="baseline"/>
        <w:rPr>
          <w:rFonts w:ascii="Segoe UI" w:hAnsi="Segoe UI" w:cs="Segoe UI"/>
          <w:sz w:val="18"/>
          <w:szCs w:val="18"/>
        </w:rPr>
      </w:pPr>
      <w:r>
        <w:rPr>
          <w:rStyle w:val="normaltextrun"/>
          <w:rFonts w:ascii="Arial" w:eastAsiaTheme="majorEastAsia" w:hAnsi="Arial" w:cs="Arial"/>
        </w:rPr>
        <w:t> </w:t>
      </w:r>
      <w:r>
        <w:rPr>
          <w:rStyle w:val="eop"/>
          <w:rFonts w:ascii="Arial" w:eastAsiaTheme="majorEastAsia" w:hAnsi="Arial" w:cs="Arial"/>
        </w:rPr>
        <w:t> </w:t>
      </w:r>
    </w:p>
    <w:p w14:paraId="4363FCDD"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rPr>
        <w:t>The UK Timber Frame Association publication '16 Steps to Fire Safety on Timber Frame Construction Sites' provides guidance on this issue and is available from:</w:t>
      </w:r>
      <w:r>
        <w:rPr>
          <w:rStyle w:val="eop"/>
          <w:rFonts w:ascii="Arial" w:eastAsiaTheme="majorEastAsia" w:hAnsi="Arial" w:cs="Arial"/>
        </w:rPr>
        <w:t> </w:t>
      </w:r>
    </w:p>
    <w:p w14:paraId="6DE88399"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rPr>
        <w:t> </w:t>
      </w:r>
      <w:r>
        <w:rPr>
          <w:rStyle w:val="eop"/>
          <w:rFonts w:ascii="Arial" w:eastAsiaTheme="majorEastAsia" w:hAnsi="Arial" w:cs="Arial"/>
        </w:rPr>
        <w:t> </w:t>
      </w:r>
    </w:p>
    <w:p w14:paraId="0C0D7235"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hyperlink r:id="rId6" w:tgtFrame="_blank" w:history="1">
        <w:r>
          <w:rPr>
            <w:rStyle w:val="normaltextrun"/>
            <w:rFonts w:ascii="Arial" w:eastAsiaTheme="majorEastAsia" w:hAnsi="Arial" w:cs="Arial"/>
            <w:color w:val="0000FF"/>
            <w:u w:val="single"/>
          </w:rPr>
          <w:t>https://www.structuraltimber.co.uk/wp-content/uploads/2024/01/16stepstofiresafety-3.pdf</w:t>
        </w:r>
      </w:hyperlink>
      <w:r>
        <w:rPr>
          <w:rStyle w:val="eop"/>
          <w:rFonts w:ascii="Aptos" w:eastAsiaTheme="majorEastAsia" w:hAnsi="Aptos" w:cs="Segoe UI"/>
        </w:rPr>
        <w:t> </w:t>
      </w:r>
    </w:p>
    <w:p w14:paraId="7AE304D6"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0"/>
          <w:szCs w:val="20"/>
        </w:rPr>
        <w:t> </w:t>
      </w:r>
      <w:r>
        <w:rPr>
          <w:rStyle w:val="eop"/>
          <w:rFonts w:ascii="Arial" w:eastAsiaTheme="majorEastAsia" w:hAnsi="Arial" w:cs="Arial"/>
          <w:sz w:val="20"/>
          <w:szCs w:val="20"/>
        </w:rPr>
        <w:t> </w:t>
      </w:r>
    </w:p>
    <w:p w14:paraId="723D7EAC"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rPr>
        <w:t>This guidance should be read in conjunction with the 'Joint Code of Practice on the Protection from Fire of Construction Sites and Buildings Undergoing Renovation', published by the Construction Confederation and The Fire Protection Association (Sixth Edition, ISBN 1-902790-33-2)</w:t>
      </w:r>
      <w:r>
        <w:rPr>
          <w:rStyle w:val="eop"/>
          <w:rFonts w:ascii="Arial" w:eastAsiaTheme="majorEastAsia" w:hAnsi="Arial" w:cs="Arial"/>
        </w:rPr>
        <w:t> </w:t>
      </w:r>
    </w:p>
    <w:p w14:paraId="3C319348"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rPr>
        <w:t> </w:t>
      </w:r>
      <w:r>
        <w:rPr>
          <w:rStyle w:val="eop"/>
          <w:rFonts w:ascii="Arial" w:eastAsiaTheme="majorEastAsia" w:hAnsi="Arial" w:cs="Arial"/>
        </w:rPr>
        <w:t> </w:t>
      </w:r>
    </w:p>
    <w:p w14:paraId="54EC024D"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rPr>
        <w:t>Copies of the 'Joint Codes of Practice' and useful sister publication, 'Construction Site Fire Prevention Checklist' (Second edition, ISBN 1-902790-32-4), are available for purchase from the Fire Protection Association: (</w:t>
      </w:r>
      <w:hyperlink r:id="rId7" w:tgtFrame="_blank" w:history="1">
        <w:r>
          <w:rPr>
            <w:rStyle w:val="normaltextrun"/>
            <w:rFonts w:ascii="Arial" w:eastAsiaTheme="majorEastAsia" w:hAnsi="Arial" w:cs="Arial"/>
            <w:color w:val="0000FF"/>
            <w:u w:val="single"/>
          </w:rPr>
          <w:t>www.thefpa.co.uk</w:t>
        </w:r>
      </w:hyperlink>
      <w:r>
        <w:rPr>
          <w:rStyle w:val="normaltextrun"/>
          <w:rFonts w:ascii="Arial" w:eastAsiaTheme="majorEastAsia" w:hAnsi="Arial" w:cs="Arial"/>
          <w:color w:val="0000FF"/>
          <w:u w:val="single"/>
        </w:rPr>
        <w:t xml:space="preserve"> </w:t>
      </w:r>
      <w:r>
        <w:rPr>
          <w:rStyle w:val="normaltextrun"/>
          <w:rFonts w:ascii="Arial" w:eastAsiaTheme="majorEastAsia" w:hAnsi="Arial" w:cs="Arial"/>
        </w:rPr>
        <w:t>) and from the Construction Industry Press: </w:t>
      </w:r>
      <w:r>
        <w:rPr>
          <w:rStyle w:val="eop"/>
          <w:rFonts w:ascii="Arial" w:eastAsiaTheme="majorEastAsia" w:hAnsi="Arial" w:cs="Arial"/>
        </w:rPr>
        <w:t> </w:t>
      </w:r>
    </w:p>
    <w:p w14:paraId="7D21394F" w14:textId="77777777" w:rsidR="001074A2" w:rsidRDefault="001074A2" w:rsidP="001074A2">
      <w:pPr>
        <w:pStyle w:val="paragraph"/>
        <w:spacing w:before="0" w:beforeAutospacing="0" w:after="0" w:afterAutospacing="0"/>
        <w:ind w:right="75"/>
        <w:jc w:val="both"/>
        <w:textAlignment w:val="baseline"/>
        <w:rPr>
          <w:rFonts w:ascii="Segoe UI" w:hAnsi="Segoe UI" w:cs="Segoe UI"/>
          <w:sz w:val="18"/>
          <w:szCs w:val="18"/>
        </w:rPr>
      </w:pPr>
      <w:r>
        <w:rPr>
          <w:rStyle w:val="normaltextrun"/>
          <w:rFonts w:ascii="Arial" w:eastAsiaTheme="majorEastAsia" w:hAnsi="Arial" w:cs="Arial"/>
          <w:sz w:val="20"/>
          <w:szCs w:val="20"/>
        </w:rPr>
        <w:t> </w:t>
      </w:r>
      <w:r>
        <w:rPr>
          <w:rStyle w:val="eop"/>
          <w:rFonts w:ascii="Arial" w:eastAsiaTheme="majorEastAsia" w:hAnsi="Arial" w:cs="Arial"/>
          <w:sz w:val="20"/>
          <w:szCs w:val="20"/>
        </w:rPr>
        <w:t> </w:t>
      </w:r>
    </w:p>
    <w:p w14:paraId="7EA076C5"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rPr>
        <w:t>(</w:t>
      </w:r>
      <w:hyperlink r:id="rId8" w:tgtFrame="_blank" w:history="1">
        <w:r>
          <w:rPr>
            <w:rStyle w:val="normaltextrun"/>
            <w:rFonts w:ascii="Arial" w:eastAsiaTheme="majorEastAsia" w:hAnsi="Arial" w:cs="Arial"/>
            <w:color w:val="0000FF"/>
            <w:u w:val="single"/>
          </w:rPr>
          <w:t>Publications for Construction Professionals and Builders | CIP Books</w:t>
        </w:r>
      </w:hyperlink>
      <w:r>
        <w:rPr>
          <w:rStyle w:val="normaltextrun"/>
          <w:rFonts w:ascii="Arial" w:eastAsiaTheme="majorEastAsia" w:hAnsi="Arial" w:cs="Arial"/>
        </w:rPr>
        <w:t>)</w:t>
      </w:r>
      <w:r>
        <w:rPr>
          <w:rStyle w:val="eop"/>
          <w:rFonts w:ascii="Arial" w:eastAsiaTheme="majorEastAsia" w:hAnsi="Arial" w:cs="Arial"/>
        </w:rPr>
        <w:t> </w:t>
      </w:r>
    </w:p>
    <w:p w14:paraId="6CF95322"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eop"/>
          <w:rFonts w:ascii="Aptos" w:eastAsiaTheme="majorEastAsia" w:hAnsi="Aptos" w:cs="Segoe UI"/>
        </w:rPr>
        <w:t> </w:t>
      </w:r>
    </w:p>
    <w:p w14:paraId="79FDD9CA" w14:textId="77777777" w:rsidR="00347528" w:rsidRDefault="00347528"/>
    <w:sectPr w:rsidR="003475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434BD"/>
    <w:multiLevelType w:val="multilevel"/>
    <w:tmpl w:val="F4F05BF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8F0C29"/>
    <w:multiLevelType w:val="multilevel"/>
    <w:tmpl w:val="693E0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460E8A"/>
    <w:multiLevelType w:val="multilevel"/>
    <w:tmpl w:val="023C1DC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C423E5"/>
    <w:multiLevelType w:val="multilevel"/>
    <w:tmpl w:val="8852584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4967B31"/>
    <w:multiLevelType w:val="multilevel"/>
    <w:tmpl w:val="B59486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572762D"/>
    <w:multiLevelType w:val="multilevel"/>
    <w:tmpl w:val="F36889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35D6747"/>
    <w:multiLevelType w:val="multilevel"/>
    <w:tmpl w:val="C77EE2A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DE04E32"/>
    <w:multiLevelType w:val="multilevel"/>
    <w:tmpl w:val="4BC4F22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60487275">
    <w:abstractNumId w:val="5"/>
  </w:num>
  <w:num w:numId="2" w16cid:durableId="172258929">
    <w:abstractNumId w:val="4"/>
  </w:num>
  <w:num w:numId="3" w16cid:durableId="1985044849">
    <w:abstractNumId w:val="2"/>
  </w:num>
  <w:num w:numId="4" w16cid:durableId="1724869427">
    <w:abstractNumId w:val="1"/>
  </w:num>
  <w:num w:numId="5" w16cid:durableId="147287569">
    <w:abstractNumId w:val="6"/>
  </w:num>
  <w:num w:numId="6" w16cid:durableId="1758794738">
    <w:abstractNumId w:val="3"/>
  </w:num>
  <w:num w:numId="7" w16cid:durableId="1527214723">
    <w:abstractNumId w:val="7"/>
  </w:num>
  <w:num w:numId="8" w16cid:durableId="12292703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4A2"/>
    <w:rsid w:val="001074A2"/>
    <w:rsid w:val="002D5978"/>
    <w:rsid w:val="00347528"/>
    <w:rsid w:val="007558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D322A"/>
  <w15:chartTrackingRefBased/>
  <w15:docId w15:val="{E192DE66-D9C7-411B-875E-1536D1779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74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74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74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74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74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74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74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74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74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74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74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74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74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74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74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74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74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74A2"/>
    <w:rPr>
      <w:rFonts w:eastAsiaTheme="majorEastAsia" w:cstheme="majorBidi"/>
      <w:color w:val="272727" w:themeColor="text1" w:themeTint="D8"/>
    </w:rPr>
  </w:style>
  <w:style w:type="paragraph" w:styleId="Title">
    <w:name w:val="Title"/>
    <w:basedOn w:val="Normal"/>
    <w:next w:val="Normal"/>
    <w:link w:val="TitleChar"/>
    <w:uiPriority w:val="10"/>
    <w:qFormat/>
    <w:rsid w:val="001074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74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74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74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74A2"/>
    <w:pPr>
      <w:spacing w:before="160"/>
      <w:jc w:val="center"/>
    </w:pPr>
    <w:rPr>
      <w:i/>
      <w:iCs/>
      <w:color w:val="404040" w:themeColor="text1" w:themeTint="BF"/>
    </w:rPr>
  </w:style>
  <w:style w:type="character" w:customStyle="1" w:styleId="QuoteChar">
    <w:name w:val="Quote Char"/>
    <w:basedOn w:val="DefaultParagraphFont"/>
    <w:link w:val="Quote"/>
    <w:uiPriority w:val="29"/>
    <w:rsid w:val="001074A2"/>
    <w:rPr>
      <w:i/>
      <w:iCs/>
      <w:color w:val="404040" w:themeColor="text1" w:themeTint="BF"/>
    </w:rPr>
  </w:style>
  <w:style w:type="paragraph" w:styleId="ListParagraph">
    <w:name w:val="List Paragraph"/>
    <w:basedOn w:val="Normal"/>
    <w:uiPriority w:val="34"/>
    <w:qFormat/>
    <w:rsid w:val="001074A2"/>
    <w:pPr>
      <w:ind w:left="720"/>
      <w:contextualSpacing/>
    </w:pPr>
  </w:style>
  <w:style w:type="character" w:styleId="IntenseEmphasis">
    <w:name w:val="Intense Emphasis"/>
    <w:basedOn w:val="DefaultParagraphFont"/>
    <w:uiPriority w:val="21"/>
    <w:qFormat/>
    <w:rsid w:val="001074A2"/>
    <w:rPr>
      <w:i/>
      <w:iCs/>
      <w:color w:val="0F4761" w:themeColor="accent1" w:themeShade="BF"/>
    </w:rPr>
  </w:style>
  <w:style w:type="paragraph" w:styleId="IntenseQuote">
    <w:name w:val="Intense Quote"/>
    <w:basedOn w:val="Normal"/>
    <w:next w:val="Normal"/>
    <w:link w:val="IntenseQuoteChar"/>
    <w:uiPriority w:val="30"/>
    <w:qFormat/>
    <w:rsid w:val="001074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74A2"/>
    <w:rPr>
      <w:i/>
      <w:iCs/>
      <w:color w:val="0F4761" w:themeColor="accent1" w:themeShade="BF"/>
    </w:rPr>
  </w:style>
  <w:style w:type="character" w:styleId="IntenseReference">
    <w:name w:val="Intense Reference"/>
    <w:basedOn w:val="DefaultParagraphFont"/>
    <w:uiPriority w:val="32"/>
    <w:qFormat/>
    <w:rsid w:val="001074A2"/>
    <w:rPr>
      <w:b/>
      <w:bCs/>
      <w:smallCaps/>
      <w:color w:val="0F4761" w:themeColor="accent1" w:themeShade="BF"/>
      <w:spacing w:val="5"/>
    </w:rPr>
  </w:style>
  <w:style w:type="paragraph" w:customStyle="1" w:styleId="paragraph">
    <w:name w:val="paragraph"/>
    <w:basedOn w:val="Normal"/>
    <w:rsid w:val="001074A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074A2"/>
  </w:style>
  <w:style w:type="character" w:customStyle="1" w:styleId="eop">
    <w:name w:val="eop"/>
    <w:basedOn w:val="DefaultParagraphFont"/>
    <w:rsid w:val="001074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1019300">
      <w:bodyDiv w:val="1"/>
      <w:marLeft w:val="0"/>
      <w:marRight w:val="0"/>
      <w:marTop w:val="0"/>
      <w:marBottom w:val="0"/>
      <w:divBdr>
        <w:top w:val="none" w:sz="0" w:space="0" w:color="auto"/>
        <w:left w:val="none" w:sz="0" w:space="0" w:color="auto"/>
        <w:bottom w:val="none" w:sz="0" w:space="0" w:color="auto"/>
        <w:right w:val="none" w:sz="0" w:space="0" w:color="auto"/>
      </w:divBdr>
      <w:divsChild>
        <w:div w:id="1954435187">
          <w:marLeft w:val="0"/>
          <w:marRight w:val="0"/>
          <w:marTop w:val="0"/>
          <w:marBottom w:val="0"/>
          <w:divBdr>
            <w:top w:val="none" w:sz="0" w:space="0" w:color="auto"/>
            <w:left w:val="none" w:sz="0" w:space="0" w:color="auto"/>
            <w:bottom w:val="none" w:sz="0" w:space="0" w:color="auto"/>
            <w:right w:val="none" w:sz="0" w:space="0" w:color="auto"/>
          </w:divBdr>
          <w:divsChild>
            <w:div w:id="2110849965">
              <w:marLeft w:val="0"/>
              <w:marRight w:val="0"/>
              <w:marTop w:val="0"/>
              <w:marBottom w:val="0"/>
              <w:divBdr>
                <w:top w:val="none" w:sz="0" w:space="0" w:color="auto"/>
                <w:left w:val="none" w:sz="0" w:space="0" w:color="auto"/>
                <w:bottom w:val="none" w:sz="0" w:space="0" w:color="auto"/>
                <w:right w:val="none" w:sz="0" w:space="0" w:color="auto"/>
              </w:divBdr>
            </w:div>
            <w:div w:id="2081445178">
              <w:marLeft w:val="0"/>
              <w:marRight w:val="0"/>
              <w:marTop w:val="0"/>
              <w:marBottom w:val="0"/>
              <w:divBdr>
                <w:top w:val="none" w:sz="0" w:space="0" w:color="auto"/>
                <w:left w:val="none" w:sz="0" w:space="0" w:color="auto"/>
                <w:bottom w:val="none" w:sz="0" w:space="0" w:color="auto"/>
                <w:right w:val="none" w:sz="0" w:space="0" w:color="auto"/>
              </w:divBdr>
            </w:div>
            <w:div w:id="617639852">
              <w:marLeft w:val="0"/>
              <w:marRight w:val="0"/>
              <w:marTop w:val="0"/>
              <w:marBottom w:val="0"/>
              <w:divBdr>
                <w:top w:val="none" w:sz="0" w:space="0" w:color="auto"/>
                <w:left w:val="none" w:sz="0" w:space="0" w:color="auto"/>
                <w:bottom w:val="none" w:sz="0" w:space="0" w:color="auto"/>
                <w:right w:val="none" w:sz="0" w:space="0" w:color="auto"/>
              </w:divBdr>
            </w:div>
            <w:div w:id="1111363761">
              <w:marLeft w:val="0"/>
              <w:marRight w:val="0"/>
              <w:marTop w:val="0"/>
              <w:marBottom w:val="0"/>
              <w:divBdr>
                <w:top w:val="none" w:sz="0" w:space="0" w:color="auto"/>
                <w:left w:val="none" w:sz="0" w:space="0" w:color="auto"/>
                <w:bottom w:val="none" w:sz="0" w:space="0" w:color="auto"/>
                <w:right w:val="none" w:sz="0" w:space="0" w:color="auto"/>
              </w:divBdr>
            </w:div>
            <w:div w:id="1345551666">
              <w:marLeft w:val="0"/>
              <w:marRight w:val="0"/>
              <w:marTop w:val="0"/>
              <w:marBottom w:val="0"/>
              <w:divBdr>
                <w:top w:val="none" w:sz="0" w:space="0" w:color="auto"/>
                <w:left w:val="none" w:sz="0" w:space="0" w:color="auto"/>
                <w:bottom w:val="none" w:sz="0" w:space="0" w:color="auto"/>
                <w:right w:val="none" w:sz="0" w:space="0" w:color="auto"/>
              </w:divBdr>
            </w:div>
            <w:div w:id="331690936">
              <w:marLeft w:val="0"/>
              <w:marRight w:val="0"/>
              <w:marTop w:val="0"/>
              <w:marBottom w:val="0"/>
              <w:divBdr>
                <w:top w:val="none" w:sz="0" w:space="0" w:color="auto"/>
                <w:left w:val="none" w:sz="0" w:space="0" w:color="auto"/>
                <w:bottom w:val="none" w:sz="0" w:space="0" w:color="auto"/>
                <w:right w:val="none" w:sz="0" w:space="0" w:color="auto"/>
              </w:divBdr>
            </w:div>
            <w:div w:id="971906305">
              <w:marLeft w:val="0"/>
              <w:marRight w:val="0"/>
              <w:marTop w:val="0"/>
              <w:marBottom w:val="0"/>
              <w:divBdr>
                <w:top w:val="none" w:sz="0" w:space="0" w:color="auto"/>
                <w:left w:val="none" w:sz="0" w:space="0" w:color="auto"/>
                <w:bottom w:val="none" w:sz="0" w:space="0" w:color="auto"/>
                <w:right w:val="none" w:sz="0" w:space="0" w:color="auto"/>
              </w:divBdr>
            </w:div>
            <w:div w:id="1169948682">
              <w:marLeft w:val="0"/>
              <w:marRight w:val="0"/>
              <w:marTop w:val="0"/>
              <w:marBottom w:val="0"/>
              <w:divBdr>
                <w:top w:val="none" w:sz="0" w:space="0" w:color="auto"/>
                <w:left w:val="none" w:sz="0" w:space="0" w:color="auto"/>
                <w:bottom w:val="none" w:sz="0" w:space="0" w:color="auto"/>
                <w:right w:val="none" w:sz="0" w:space="0" w:color="auto"/>
              </w:divBdr>
            </w:div>
            <w:div w:id="411969751">
              <w:marLeft w:val="0"/>
              <w:marRight w:val="0"/>
              <w:marTop w:val="0"/>
              <w:marBottom w:val="0"/>
              <w:divBdr>
                <w:top w:val="none" w:sz="0" w:space="0" w:color="auto"/>
                <w:left w:val="none" w:sz="0" w:space="0" w:color="auto"/>
                <w:bottom w:val="none" w:sz="0" w:space="0" w:color="auto"/>
                <w:right w:val="none" w:sz="0" w:space="0" w:color="auto"/>
              </w:divBdr>
            </w:div>
            <w:div w:id="1378898915">
              <w:marLeft w:val="0"/>
              <w:marRight w:val="0"/>
              <w:marTop w:val="0"/>
              <w:marBottom w:val="0"/>
              <w:divBdr>
                <w:top w:val="none" w:sz="0" w:space="0" w:color="auto"/>
                <w:left w:val="none" w:sz="0" w:space="0" w:color="auto"/>
                <w:bottom w:val="none" w:sz="0" w:space="0" w:color="auto"/>
                <w:right w:val="none" w:sz="0" w:space="0" w:color="auto"/>
              </w:divBdr>
            </w:div>
            <w:div w:id="1555920935">
              <w:marLeft w:val="0"/>
              <w:marRight w:val="0"/>
              <w:marTop w:val="0"/>
              <w:marBottom w:val="0"/>
              <w:divBdr>
                <w:top w:val="none" w:sz="0" w:space="0" w:color="auto"/>
                <w:left w:val="none" w:sz="0" w:space="0" w:color="auto"/>
                <w:bottom w:val="none" w:sz="0" w:space="0" w:color="auto"/>
                <w:right w:val="none" w:sz="0" w:space="0" w:color="auto"/>
              </w:divBdr>
            </w:div>
            <w:div w:id="545919813">
              <w:marLeft w:val="0"/>
              <w:marRight w:val="0"/>
              <w:marTop w:val="0"/>
              <w:marBottom w:val="0"/>
              <w:divBdr>
                <w:top w:val="none" w:sz="0" w:space="0" w:color="auto"/>
                <w:left w:val="none" w:sz="0" w:space="0" w:color="auto"/>
                <w:bottom w:val="none" w:sz="0" w:space="0" w:color="auto"/>
                <w:right w:val="none" w:sz="0" w:space="0" w:color="auto"/>
              </w:divBdr>
            </w:div>
            <w:div w:id="1471358110">
              <w:marLeft w:val="0"/>
              <w:marRight w:val="0"/>
              <w:marTop w:val="0"/>
              <w:marBottom w:val="0"/>
              <w:divBdr>
                <w:top w:val="none" w:sz="0" w:space="0" w:color="auto"/>
                <w:left w:val="none" w:sz="0" w:space="0" w:color="auto"/>
                <w:bottom w:val="none" w:sz="0" w:space="0" w:color="auto"/>
                <w:right w:val="none" w:sz="0" w:space="0" w:color="auto"/>
              </w:divBdr>
            </w:div>
            <w:div w:id="271859053">
              <w:marLeft w:val="0"/>
              <w:marRight w:val="0"/>
              <w:marTop w:val="0"/>
              <w:marBottom w:val="0"/>
              <w:divBdr>
                <w:top w:val="none" w:sz="0" w:space="0" w:color="auto"/>
                <w:left w:val="none" w:sz="0" w:space="0" w:color="auto"/>
                <w:bottom w:val="none" w:sz="0" w:space="0" w:color="auto"/>
                <w:right w:val="none" w:sz="0" w:space="0" w:color="auto"/>
              </w:divBdr>
            </w:div>
            <w:div w:id="103156197">
              <w:marLeft w:val="0"/>
              <w:marRight w:val="0"/>
              <w:marTop w:val="0"/>
              <w:marBottom w:val="0"/>
              <w:divBdr>
                <w:top w:val="none" w:sz="0" w:space="0" w:color="auto"/>
                <w:left w:val="none" w:sz="0" w:space="0" w:color="auto"/>
                <w:bottom w:val="none" w:sz="0" w:space="0" w:color="auto"/>
                <w:right w:val="none" w:sz="0" w:space="0" w:color="auto"/>
              </w:divBdr>
            </w:div>
            <w:div w:id="1560088302">
              <w:marLeft w:val="0"/>
              <w:marRight w:val="0"/>
              <w:marTop w:val="0"/>
              <w:marBottom w:val="0"/>
              <w:divBdr>
                <w:top w:val="none" w:sz="0" w:space="0" w:color="auto"/>
                <w:left w:val="none" w:sz="0" w:space="0" w:color="auto"/>
                <w:bottom w:val="none" w:sz="0" w:space="0" w:color="auto"/>
                <w:right w:val="none" w:sz="0" w:space="0" w:color="auto"/>
              </w:divBdr>
            </w:div>
            <w:div w:id="1401901152">
              <w:marLeft w:val="0"/>
              <w:marRight w:val="0"/>
              <w:marTop w:val="0"/>
              <w:marBottom w:val="0"/>
              <w:divBdr>
                <w:top w:val="none" w:sz="0" w:space="0" w:color="auto"/>
                <w:left w:val="none" w:sz="0" w:space="0" w:color="auto"/>
                <w:bottom w:val="none" w:sz="0" w:space="0" w:color="auto"/>
                <w:right w:val="none" w:sz="0" w:space="0" w:color="auto"/>
              </w:divBdr>
            </w:div>
            <w:div w:id="1834757757">
              <w:marLeft w:val="0"/>
              <w:marRight w:val="0"/>
              <w:marTop w:val="0"/>
              <w:marBottom w:val="0"/>
              <w:divBdr>
                <w:top w:val="none" w:sz="0" w:space="0" w:color="auto"/>
                <w:left w:val="none" w:sz="0" w:space="0" w:color="auto"/>
                <w:bottom w:val="none" w:sz="0" w:space="0" w:color="auto"/>
                <w:right w:val="none" w:sz="0" w:space="0" w:color="auto"/>
              </w:divBdr>
            </w:div>
            <w:div w:id="1832720202">
              <w:marLeft w:val="0"/>
              <w:marRight w:val="0"/>
              <w:marTop w:val="0"/>
              <w:marBottom w:val="0"/>
              <w:divBdr>
                <w:top w:val="none" w:sz="0" w:space="0" w:color="auto"/>
                <w:left w:val="none" w:sz="0" w:space="0" w:color="auto"/>
                <w:bottom w:val="none" w:sz="0" w:space="0" w:color="auto"/>
                <w:right w:val="none" w:sz="0" w:space="0" w:color="auto"/>
              </w:divBdr>
            </w:div>
            <w:div w:id="384836350">
              <w:marLeft w:val="0"/>
              <w:marRight w:val="0"/>
              <w:marTop w:val="0"/>
              <w:marBottom w:val="0"/>
              <w:divBdr>
                <w:top w:val="none" w:sz="0" w:space="0" w:color="auto"/>
                <w:left w:val="none" w:sz="0" w:space="0" w:color="auto"/>
                <w:bottom w:val="none" w:sz="0" w:space="0" w:color="auto"/>
                <w:right w:val="none" w:sz="0" w:space="0" w:color="auto"/>
              </w:divBdr>
            </w:div>
          </w:divsChild>
        </w:div>
        <w:div w:id="1907908080">
          <w:marLeft w:val="0"/>
          <w:marRight w:val="0"/>
          <w:marTop w:val="0"/>
          <w:marBottom w:val="0"/>
          <w:divBdr>
            <w:top w:val="none" w:sz="0" w:space="0" w:color="auto"/>
            <w:left w:val="none" w:sz="0" w:space="0" w:color="auto"/>
            <w:bottom w:val="none" w:sz="0" w:space="0" w:color="auto"/>
            <w:right w:val="none" w:sz="0" w:space="0" w:color="auto"/>
          </w:divBdr>
        </w:div>
        <w:div w:id="1505782670">
          <w:marLeft w:val="0"/>
          <w:marRight w:val="0"/>
          <w:marTop w:val="0"/>
          <w:marBottom w:val="0"/>
          <w:divBdr>
            <w:top w:val="none" w:sz="0" w:space="0" w:color="auto"/>
            <w:left w:val="none" w:sz="0" w:space="0" w:color="auto"/>
            <w:bottom w:val="none" w:sz="0" w:space="0" w:color="auto"/>
            <w:right w:val="none" w:sz="0" w:space="0" w:color="auto"/>
          </w:divBdr>
        </w:div>
        <w:div w:id="1293362466">
          <w:marLeft w:val="0"/>
          <w:marRight w:val="0"/>
          <w:marTop w:val="0"/>
          <w:marBottom w:val="0"/>
          <w:divBdr>
            <w:top w:val="none" w:sz="0" w:space="0" w:color="auto"/>
            <w:left w:val="none" w:sz="0" w:space="0" w:color="auto"/>
            <w:bottom w:val="none" w:sz="0" w:space="0" w:color="auto"/>
            <w:right w:val="none" w:sz="0" w:space="0" w:color="auto"/>
          </w:divBdr>
        </w:div>
        <w:div w:id="522210562">
          <w:marLeft w:val="0"/>
          <w:marRight w:val="0"/>
          <w:marTop w:val="0"/>
          <w:marBottom w:val="0"/>
          <w:divBdr>
            <w:top w:val="none" w:sz="0" w:space="0" w:color="auto"/>
            <w:left w:val="none" w:sz="0" w:space="0" w:color="auto"/>
            <w:bottom w:val="none" w:sz="0" w:space="0" w:color="auto"/>
            <w:right w:val="none" w:sz="0" w:space="0" w:color="auto"/>
          </w:divBdr>
        </w:div>
        <w:div w:id="1763836660">
          <w:marLeft w:val="0"/>
          <w:marRight w:val="0"/>
          <w:marTop w:val="0"/>
          <w:marBottom w:val="0"/>
          <w:divBdr>
            <w:top w:val="none" w:sz="0" w:space="0" w:color="auto"/>
            <w:left w:val="none" w:sz="0" w:space="0" w:color="auto"/>
            <w:bottom w:val="none" w:sz="0" w:space="0" w:color="auto"/>
            <w:right w:val="none" w:sz="0" w:space="0" w:color="auto"/>
          </w:divBdr>
        </w:div>
        <w:div w:id="1654220079">
          <w:marLeft w:val="0"/>
          <w:marRight w:val="0"/>
          <w:marTop w:val="0"/>
          <w:marBottom w:val="0"/>
          <w:divBdr>
            <w:top w:val="none" w:sz="0" w:space="0" w:color="auto"/>
            <w:left w:val="none" w:sz="0" w:space="0" w:color="auto"/>
            <w:bottom w:val="none" w:sz="0" w:space="0" w:color="auto"/>
            <w:right w:val="none" w:sz="0" w:space="0" w:color="auto"/>
          </w:divBdr>
        </w:div>
        <w:div w:id="1771850365">
          <w:marLeft w:val="0"/>
          <w:marRight w:val="0"/>
          <w:marTop w:val="0"/>
          <w:marBottom w:val="0"/>
          <w:divBdr>
            <w:top w:val="none" w:sz="0" w:space="0" w:color="auto"/>
            <w:left w:val="none" w:sz="0" w:space="0" w:color="auto"/>
            <w:bottom w:val="none" w:sz="0" w:space="0" w:color="auto"/>
            <w:right w:val="none" w:sz="0" w:space="0" w:color="auto"/>
          </w:divBdr>
        </w:div>
        <w:div w:id="1316568918">
          <w:marLeft w:val="0"/>
          <w:marRight w:val="0"/>
          <w:marTop w:val="0"/>
          <w:marBottom w:val="0"/>
          <w:divBdr>
            <w:top w:val="none" w:sz="0" w:space="0" w:color="auto"/>
            <w:left w:val="none" w:sz="0" w:space="0" w:color="auto"/>
            <w:bottom w:val="none" w:sz="0" w:space="0" w:color="auto"/>
            <w:right w:val="none" w:sz="0" w:space="0" w:color="auto"/>
          </w:divBdr>
        </w:div>
        <w:div w:id="1397318504">
          <w:marLeft w:val="0"/>
          <w:marRight w:val="0"/>
          <w:marTop w:val="0"/>
          <w:marBottom w:val="0"/>
          <w:divBdr>
            <w:top w:val="none" w:sz="0" w:space="0" w:color="auto"/>
            <w:left w:val="none" w:sz="0" w:space="0" w:color="auto"/>
            <w:bottom w:val="none" w:sz="0" w:space="0" w:color="auto"/>
            <w:right w:val="none" w:sz="0" w:space="0" w:color="auto"/>
          </w:divBdr>
        </w:div>
        <w:div w:id="1044670514">
          <w:marLeft w:val="0"/>
          <w:marRight w:val="0"/>
          <w:marTop w:val="0"/>
          <w:marBottom w:val="0"/>
          <w:divBdr>
            <w:top w:val="none" w:sz="0" w:space="0" w:color="auto"/>
            <w:left w:val="none" w:sz="0" w:space="0" w:color="auto"/>
            <w:bottom w:val="none" w:sz="0" w:space="0" w:color="auto"/>
            <w:right w:val="none" w:sz="0" w:space="0" w:color="auto"/>
          </w:divBdr>
        </w:div>
        <w:div w:id="2089188259">
          <w:marLeft w:val="0"/>
          <w:marRight w:val="0"/>
          <w:marTop w:val="0"/>
          <w:marBottom w:val="0"/>
          <w:divBdr>
            <w:top w:val="none" w:sz="0" w:space="0" w:color="auto"/>
            <w:left w:val="none" w:sz="0" w:space="0" w:color="auto"/>
            <w:bottom w:val="none" w:sz="0" w:space="0" w:color="auto"/>
            <w:right w:val="none" w:sz="0" w:space="0" w:color="auto"/>
          </w:divBdr>
        </w:div>
        <w:div w:id="1283924470">
          <w:marLeft w:val="0"/>
          <w:marRight w:val="0"/>
          <w:marTop w:val="0"/>
          <w:marBottom w:val="0"/>
          <w:divBdr>
            <w:top w:val="none" w:sz="0" w:space="0" w:color="auto"/>
            <w:left w:val="none" w:sz="0" w:space="0" w:color="auto"/>
            <w:bottom w:val="none" w:sz="0" w:space="0" w:color="auto"/>
            <w:right w:val="none" w:sz="0" w:space="0" w:color="auto"/>
          </w:divBdr>
        </w:div>
        <w:div w:id="1884361901">
          <w:marLeft w:val="0"/>
          <w:marRight w:val="0"/>
          <w:marTop w:val="0"/>
          <w:marBottom w:val="0"/>
          <w:divBdr>
            <w:top w:val="none" w:sz="0" w:space="0" w:color="auto"/>
            <w:left w:val="none" w:sz="0" w:space="0" w:color="auto"/>
            <w:bottom w:val="none" w:sz="0" w:space="0" w:color="auto"/>
            <w:right w:val="none" w:sz="0" w:space="0" w:color="auto"/>
          </w:divBdr>
        </w:div>
        <w:div w:id="738673114">
          <w:marLeft w:val="0"/>
          <w:marRight w:val="0"/>
          <w:marTop w:val="0"/>
          <w:marBottom w:val="0"/>
          <w:divBdr>
            <w:top w:val="none" w:sz="0" w:space="0" w:color="auto"/>
            <w:left w:val="none" w:sz="0" w:space="0" w:color="auto"/>
            <w:bottom w:val="none" w:sz="0" w:space="0" w:color="auto"/>
            <w:right w:val="none" w:sz="0" w:space="0" w:color="auto"/>
          </w:divBdr>
        </w:div>
        <w:div w:id="1920677525">
          <w:marLeft w:val="0"/>
          <w:marRight w:val="0"/>
          <w:marTop w:val="0"/>
          <w:marBottom w:val="0"/>
          <w:divBdr>
            <w:top w:val="none" w:sz="0" w:space="0" w:color="auto"/>
            <w:left w:val="none" w:sz="0" w:space="0" w:color="auto"/>
            <w:bottom w:val="none" w:sz="0" w:space="0" w:color="auto"/>
            <w:right w:val="none" w:sz="0" w:space="0" w:color="auto"/>
          </w:divBdr>
        </w:div>
        <w:div w:id="43257011">
          <w:marLeft w:val="0"/>
          <w:marRight w:val="0"/>
          <w:marTop w:val="0"/>
          <w:marBottom w:val="0"/>
          <w:divBdr>
            <w:top w:val="none" w:sz="0" w:space="0" w:color="auto"/>
            <w:left w:val="none" w:sz="0" w:space="0" w:color="auto"/>
            <w:bottom w:val="none" w:sz="0" w:space="0" w:color="auto"/>
            <w:right w:val="none" w:sz="0" w:space="0" w:color="auto"/>
          </w:divBdr>
        </w:div>
        <w:div w:id="933560787">
          <w:marLeft w:val="0"/>
          <w:marRight w:val="0"/>
          <w:marTop w:val="0"/>
          <w:marBottom w:val="0"/>
          <w:divBdr>
            <w:top w:val="none" w:sz="0" w:space="0" w:color="auto"/>
            <w:left w:val="none" w:sz="0" w:space="0" w:color="auto"/>
            <w:bottom w:val="none" w:sz="0" w:space="0" w:color="auto"/>
            <w:right w:val="none" w:sz="0" w:space="0" w:color="auto"/>
          </w:divBdr>
        </w:div>
        <w:div w:id="2002343982">
          <w:marLeft w:val="0"/>
          <w:marRight w:val="0"/>
          <w:marTop w:val="0"/>
          <w:marBottom w:val="0"/>
          <w:divBdr>
            <w:top w:val="none" w:sz="0" w:space="0" w:color="auto"/>
            <w:left w:val="none" w:sz="0" w:space="0" w:color="auto"/>
            <w:bottom w:val="none" w:sz="0" w:space="0" w:color="auto"/>
            <w:right w:val="none" w:sz="0" w:space="0" w:color="auto"/>
          </w:divBdr>
        </w:div>
        <w:div w:id="75325039">
          <w:marLeft w:val="0"/>
          <w:marRight w:val="0"/>
          <w:marTop w:val="0"/>
          <w:marBottom w:val="0"/>
          <w:divBdr>
            <w:top w:val="none" w:sz="0" w:space="0" w:color="auto"/>
            <w:left w:val="none" w:sz="0" w:space="0" w:color="auto"/>
            <w:bottom w:val="none" w:sz="0" w:space="0" w:color="auto"/>
            <w:right w:val="none" w:sz="0" w:space="0" w:color="auto"/>
          </w:divBdr>
        </w:div>
        <w:div w:id="1616710605">
          <w:marLeft w:val="0"/>
          <w:marRight w:val="0"/>
          <w:marTop w:val="0"/>
          <w:marBottom w:val="0"/>
          <w:divBdr>
            <w:top w:val="none" w:sz="0" w:space="0" w:color="auto"/>
            <w:left w:val="none" w:sz="0" w:space="0" w:color="auto"/>
            <w:bottom w:val="none" w:sz="0" w:space="0" w:color="auto"/>
            <w:right w:val="none" w:sz="0" w:space="0" w:color="auto"/>
          </w:divBdr>
        </w:div>
        <w:div w:id="819544791">
          <w:marLeft w:val="0"/>
          <w:marRight w:val="0"/>
          <w:marTop w:val="0"/>
          <w:marBottom w:val="0"/>
          <w:divBdr>
            <w:top w:val="none" w:sz="0" w:space="0" w:color="auto"/>
            <w:left w:val="none" w:sz="0" w:space="0" w:color="auto"/>
            <w:bottom w:val="none" w:sz="0" w:space="0" w:color="auto"/>
            <w:right w:val="none" w:sz="0" w:space="0" w:color="auto"/>
          </w:divBdr>
        </w:div>
        <w:div w:id="1375427428">
          <w:marLeft w:val="0"/>
          <w:marRight w:val="0"/>
          <w:marTop w:val="0"/>
          <w:marBottom w:val="0"/>
          <w:divBdr>
            <w:top w:val="none" w:sz="0" w:space="0" w:color="auto"/>
            <w:left w:val="none" w:sz="0" w:space="0" w:color="auto"/>
            <w:bottom w:val="none" w:sz="0" w:space="0" w:color="auto"/>
            <w:right w:val="none" w:sz="0" w:space="0" w:color="auto"/>
          </w:divBdr>
        </w:div>
        <w:div w:id="851147336">
          <w:marLeft w:val="0"/>
          <w:marRight w:val="0"/>
          <w:marTop w:val="0"/>
          <w:marBottom w:val="0"/>
          <w:divBdr>
            <w:top w:val="none" w:sz="0" w:space="0" w:color="auto"/>
            <w:left w:val="none" w:sz="0" w:space="0" w:color="auto"/>
            <w:bottom w:val="none" w:sz="0" w:space="0" w:color="auto"/>
            <w:right w:val="none" w:sz="0" w:space="0" w:color="auto"/>
          </w:divBdr>
        </w:div>
        <w:div w:id="1175725015">
          <w:marLeft w:val="0"/>
          <w:marRight w:val="0"/>
          <w:marTop w:val="0"/>
          <w:marBottom w:val="0"/>
          <w:divBdr>
            <w:top w:val="none" w:sz="0" w:space="0" w:color="auto"/>
            <w:left w:val="none" w:sz="0" w:space="0" w:color="auto"/>
            <w:bottom w:val="none" w:sz="0" w:space="0" w:color="auto"/>
            <w:right w:val="none" w:sz="0" w:space="0" w:color="auto"/>
          </w:divBdr>
        </w:div>
        <w:div w:id="16392630">
          <w:marLeft w:val="0"/>
          <w:marRight w:val="0"/>
          <w:marTop w:val="0"/>
          <w:marBottom w:val="0"/>
          <w:divBdr>
            <w:top w:val="none" w:sz="0" w:space="0" w:color="auto"/>
            <w:left w:val="none" w:sz="0" w:space="0" w:color="auto"/>
            <w:bottom w:val="none" w:sz="0" w:space="0" w:color="auto"/>
            <w:right w:val="none" w:sz="0" w:space="0" w:color="auto"/>
          </w:divBdr>
        </w:div>
        <w:div w:id="1170681902">
          <w:marLeft w:val="0"/>
          <w:marRight w:val="0"/>
          <w:marTop w:val="0"/>
          <w:marBottom w:val="0"/>
          <w:divBdr>
            <w:top w:val="none" w:sz="0" w:space="0" w:color="auto"/>
            <w:left w:val="none" w:sz="0" w:space="0" w:color="auto"/>
            <w:bottom w:val="none" w:sz="0" w:space="0" w:color="auto"/>
            <w:right w:val="none" w:sz="0" w:space="0" w:color="auto"/>
          </w:divBdr>
        </w:div>
        <w:div w:id="1653218706">
          <w:marLeft w:val="0"/>
          <w:marRight w:val="0"/>
          <w:marTop w:val="0"/>
          <w:marBottom w:val="0"/>
          <w:divBdr>
            <w:top w:val="none" w:sz="0" w:space="0" w:color="auto"/>
            <w:left w:val="none" w:sz="0" w:space="0" w:color="auto"/>
            <w:bottom w:val="none" w:sz="0" w:space="0" w:color="auto"/>
            <w:right w:val="none" w:sz="0" w:space="0" w:color="auto"/>
          </w:divBdr>
        </w:div>
        <w:div w:id="2139570790">
          <w:marLeft w:val="0"/>
          <w:marRight w:val="0"/>
          <w:marTop w:val="0"/>
          <w:marBottom w:val="0"/>
          <w:divBdr>
            <w:top w:val="none" w:sz="0" w:space="0" w:color="auto"/>
            <w:left w:val="none" w:sz="0" w:space="0" w:color="auto"/>
            <w:bottom w:val="none" w:sz="0" w:space="0" w:color="auto"/>
            <w:right w:val="none" w:sz="0" w:space="0" w:color="auto"/>
          </w:divBdr>
        </w:div>
        <w:div w:id="1744256808">
          <w:marLeft w:val="0"/>
          <w:marRight w:val="0"/>
          <w:marTop w:val="0"/>
          <w:marBottom w:val="0"/>
          <w:divBdr>
            <w:top w:val="none" w:sz="0" w:space="0" w:color="auto"/>
            <w:left w:val="none" w:sz="0" w:space="0" w:color="auto"/>
            <w:bottom w:val="none" w:sz="0" w:space="0" w:color="auto"/>
            <w:right w:val="none" w:sz="0" w:space="0" w:color="auto"/>
          </w:divBdr>
        </w:div>
        <w:div w:id="1800033451">
          <w:marLeft w:val="0"/>
          <w:marRight w:val="0"/>
          <w:marTop w:val="0"/>
          <w:marBottom w:val="0"/>
          <w:divBdr>
            <w:top w:val="none" w:sz="0" w:space="0" w:color="auto"/>
            <w:left w:val="none" w:sz="0" w:space="0" w:color="auto"/>
            <w:bottom w:val="none" w:sz="0" w:space="0" w:color="auto"/>
            <w:right w:val="none" w:sz="0" w:space="0" w:color="auto"/>
          </w:divBdr>
        </w:div>
        <w:div w:id="1089886952">
          <w:marLeft w:val="0"/>
          <w:marRight w:val="0"/>
          <w:marTop w:val="0"/>
          <w:marBottom w:val="0"/>
          <w:divBdr>
            <w:top w:val="none" w:sz="0" w:space="0" w:color="auto"/>
            <w:left w:val="none" w:sz="0" w:space="0" w:color="auto"/>
            <w:bottom w:val="none" w:sz="0" w:space="0" w:color="auto"/>
            <w:right w:val="none" w:sz="0" w:space="0" w:color="auto"/>
          </w:divBdr>
        </w:div>
        <w:div w:id="648167888">
          <w:marLeft w:val="0"/>
          <w:marRight w:val="0"/>
          <w:marTop w:val="0"/>
          <w:marBottom w:val="0"/>
          <w:divBdr>
            <w:top w:val="none" w:sz="0" w:space="0" w:color="auto"/>
            <w:left w:val="none" w:sz="0" w:space="0" w:color="auto"/>
            <w:bottom w:val="none" w:sz="0" w:space="0" w:color="auto"/>
            <w:right w:val="none" w:sz="0" w:space="0" w:color="auto"/>
          </w:divBdr>
        </w:div>
        <w:div w:id="1481145406">
          <w:marLeft w:val="0"/>
          <w:marRight w:val="0"/>
          <w:marTop w:val="0"/>
          <w:marBottom w:val="0"/>
          <w:divBdr>
            <w:top w:val="none" w:sz="0" w:space="0" w:color="auto"/>
            <w:left w:val="none" w:sz="0" w:space="0" w:color="auto"/>
            <w:bottom w:val="none" w:sz="0" w:space="0" w:color="auto"/>
            <w:right w:val="none" w:sz="0" w:space="0" w:color="auto"/>
          </w:divBdr>
        </w:div>
        <w:div w:id="291442456">
          <w:marLeft w:val="0"/>
          <w:marRight w:val="0"/>
          <w:marTop w:val="0"/>
          <w:marBottom w:val="0"/>
          <w:divBdr>
            <w:top w:val="none" w:sz="0" w:space="0" w:color="auto"/>
            <w:left w:val="none" w:sz="0" w:space="0" w:color="auto"/>
            <w:bottom w:val="none" w:sz="0" w:space="0" w:color="auto"/>
            <w:right w:val="none" w:sz="0" w:space="0" w:color="auto"/>
          </w:divBdr>
        </w:div>
        <w:div w:id="513687441">
          <w:marLeft w:val="0"/>
          <w:marRight w:val="0"/>
          <w:marTop w:val="0"/>
          <w:marBottom w:val="0"/>
          <w:divBdr>
            <w:top w:val="none" w:sz="0" w:space="0" w:color="auto"/>
            <w:left w:val="none" w:sz="0" w:space="0" w:color="auto"/>
            <w:bottom w:val="none" w:sz="0" w:space="0" w:color="auto"/>
            <w:right w:val="none" w:sz="0" w:space="0" w:color="auto"/>
          </w:divBdr>
        </w:div>
        <w:div w:id="1189758636">
          <w:marLeft w:val="0"/>
          <w:marRight w:val="0"/>
          <w:marTop w:val="0"/>
          <w:marBottom w:val="0"/>
          <w:divBdr>
            <w:top w:val="none" w:sz="0" w:space="0" w:color="auto"/>
            <w:left w:val="none" w:sz="0" w:space="0" w:color="auto"/>
            <w:bottom w:val="none" w:sz="0" w:space="0" w:color="auto"/>
            <w:right w:val="none" w:sz="0" w:space="0" w:color="auto"/>
          </w:divBdr>
        </w:div>
        <w:div w:id="1280069882">
          <w:marLeft w:val="0"/>
          <w:marRight w:val="0"/>
          <w:marTop w:val="0"/>
          <w:marBottom w:val="0"/>
          <w:divBdr>
            <w:top w:val="none" w:sz="0" w:space="0" w:color="auto"/>
            <w:left w:val="none" w:sz="0" w:space="0" w:color="auto"/>
            <w:bottom w:val="none" w:sz="0" w:space="0" w:color="auto"/>
            <w:right w:val="none" w:sz="0" w:space="0" w:color="auto"/>
          </w:divBdr>
        </w:div>
        <w:div w:id="500199289">
          <w:marLeft w:val="0"/>
          <w:marRight w:val="0"/>
          <w:marTop w:val="0"/>
          <w:marBottom w:val="0"/>
          <w:divBdr>
            <w:top w:val="none" w:sz="0" w:space="0" w:color="auto"/>
            <w:left w:val="none" w:sz="0" w:space="0" w:color="auto"/>
            <w:bottom w:val="none" w:sz="0" w:space="0" w:color="auto"/>
            <w:right w:val="none" w:sz="0" w:space="0" w:color="auto"/>
          </w:divBdr>
        </w:div>
        <w:div w:id="341668669">
          <w:marLeft w:val="0"/>
          <w:marRight w:val="0"/>
          <w:marTop w:val="0"/>
          <w:marBottom w:val="0"/>
          <w:divBdr>
            <w:top w:val="none" w:sz="0" w:space="0" w:color="auto"/>
            <w:left w:val="none" w:sz="0" w:space="0" w:color="auto"/>
            <w:bottom w:val="none" w:sz="0" w:space="0" w:color="auto"/>
            <w:right w:val="none" w:sz="0" w:space="0" w:color="auto"/>
          </w:divBdr>
        </w:div>
        <w:div w:id="661010464">
          <w:marLeft w:val="0"/>
          <w:marRight w:val="0"/>
          <w:marTop w:val="0"/>
          <w:marBottom w:val="0"/>
          <w:divBdr>
            <w:top w:val="none" w:sz="0" w:space="0" w:color="auto"/>
            <w:left w:val="none" w:sz="0" w:space="0" w:color="auto"/>
            <w:bottom w:val="none" w:sz="0" w:space="0" w:color="auto"/>
            <w:right w:val="none" w:sz="0" w:space="0" w:color="auto"/>
          </w:divBdr>
        </w:div>
        <w:div w:id="946429417">
          <w:marLeft w:val="0"/>
          <w:marRight w:val="0"/>
          <w:marTop w:val="0"/>
          <w:marBottom w:val="0"/>
          <w:divBdr>
            <w:top w:val="none" w:sz="0" w:space="0" w:color="auto"/>
            <w:left w:val="none" w:sz="0" w:space="0" w:color="auto"/>
            <w:bottom w:val="none" w:sz="0" w:space="0" w:color="auto"/>
            <w:right w:val="none" w:sz="0" w:space="0" w:color="auto"/>
          </w:divBdr>
        </w:div>
        <w:div w:id="1727334910">
          <w:marLeft w:val="0"/>
          <w:marRight w:val="0"/>
          <w:marTop w:val="0"/>
          <w:marBottom w:val="0"/>
          <w:divBdr>
            <w:top w:val="none" w:sz="0" w:space="0" w:color="auto"/>
            <w:left w:val="none" w:sz="0" w:space="0" w:color="auto"/>
            <w:bottom w:val="none" w:sz="0" w:space="0" w:color="auto"/>
            <w:right w:val="none" w:sz="0" w:space="0" w:color="auto"/>
          </w:divBdr>
        </w:div>
        <w:div w:id="1848514865">
          <w:marLeft w:val="0"/>
          <w:marRight w:val="0"/>
          <w:marTop w:val="0"/>
          <w:marBottom w:val="0"/>
          <w:divBdr>
            <w:top w:val="none" w:sz="0" w:space="0" w:color="auto"/>
            <w:left w:val="none" w:sz="0" w:space="0" w:color="auto"/>
            <w:bottom w:val="none" w:sz="0" w:space="0" w:color="auto"/>
            <w:right w:val="none" w:sz="0" w:space="0" w:color="auto"/>
          </w:divBdr>
        </w:div>
        <w:div w:id="2095933349">
          <w:marLeft w:val="0"/>
          <w:marRight w:val="0"/>
          <w:marTop w:val="0"/>
          <w:marBottom w:val="0"/>
          <w:divBdr>
            <w:top w:val="none" w:sz="0" w:space="0" w:color="auto"/>
            <w:left w:val="none" w:sz="0" w:space="0" w:color="auto"/>
            <w:bottom w:val="none" w:sz="0" w:space="0" w:color="auto"/>
            <w:right w:val="none" w:sz="0" w:space="0" w:color="auto"/>
          </w:divBdr>
        </w:div>
        <w:div w:id="1234466495">
          <w:marLeft w:val="0"/>
          <w:marRight w:val="0"/>
          <w:marTop w:val="0"/>
          <w:marBottom w:val="0"/>
          <w:divBdr>
            <w:top w:val="none" w:sz="0" w:space="0" w:color="auto"/>
            <w:left w:val="none" w:sz="0" w:space="0" w:color="auto"/>
            <w:bottom w:val="none" w:sz="0" w:space="0" w:color="auto"/>
            <w:right w:val="none" w:sz="0" w:space="0" w:color="auto"/>
          </w:divBdr>
        </w:div>
        <w:div w:id="846865384">
          <w:marLeft w:val="0"/>
          <w:marRight w:val="0"/>
          <w:marTop w:val="0"/>
          <w:marBottom w:val="0"/>
          <w:divBdr>
            <w:top w:val="none" w:sz="0" w:space="0" w:color="auto"/>
            <w:left w:val="none" w:sz="0" w:space="0" w:color="auto"/>
            <w:bottom w:val="none" w:sz="0" w:space="0" w:color="auto"/>
            <w:right w:val="none" w:sz="0" w:space="0" w:color="auto"/>
          </w:divBdr>
        </w:div>
        <w:div w:id="2113159793">
          <w:marLeft w:val="0"/>
          <w:marRight w:val="0"/>
          <w:marTop w:val="0"/>
          <w:marBottom w:val="0"/>
          <w:divBdr>
            <w:top w:val="none" w:sz="0" w:space="0" w:color="auto"/>
            <w:left w:val="none" w:sz="0" w:space="0" w:color="auto"/>
            <w:bottom w:val="none" w:sz="0" w:space="0" w:color="auto"/>
            <w:right w:val="none" w:sz="0" w:space="0" w:color="auto"/>
          </w:divBdr>
        </w:div>
        <w:div w:id="2130199598">
          <w:marLeft w:val="0"/>
          <w:marRight w:val="0"/>
          <w:marTop w:val="0"/>
          <w:marBottom w:val="0"/>
          <w:divBdr>
            <w:top w:val="none" w:sz="0" w:space="0" w:color="auto"/>
            <w:left w:val="none" w:sz="0" w:space="0" w:color="auto"/>
            <w:bottom w:val="none" w:sz="0" w:space="0" w:color="auto"/>
            <w:right w:val="none" w:sz="0" w:space="0" w:color="auto"/>
          </w:divBdr>
        </w:div>
        <w:div w:id="871382671">
          <w:marLeft w:val="0"/>
          <w:marRight w:val="0"/>
          <w:marTop w:val="0"/>
          <w:marBottom w:val="0"/>
          <w:divBdr>
            <w:top w:val="none" w:sz="0" w:space="0" w:color="auto"/>
            <w:left w:val="none" w:sz="0" w:space="0" w:color="auto"/>
            <w:bottom w:val="none" w:sz="0" w:space="0" w:color="auto"/>
            <w:right w:val="none" w:sz="0" w:space="0" w:color="auto"/>
          </w:divBdr>
        </w:div>
        <w:div w:id="99767753">
          <w:marLeft w:val="0"/>
          <w:marRight w:val="0"/>
          <w:marTop w:val="0"/>
          <w:marBottom w:val="0"/>
          <w:divBdr>
            <w:top w:val="none" w:sz="0" w:space="0" w:color="auto"/>
            <w:left w:val="none" w:sz="0" w:space="0" w:color="auto"/>
            <w:bottom w:val="none" w:sz="0" w:space="0" w:color="auto"/>
            <w:right w:val="none" w:sz="0" w:space="0" w:color="auto"/>
          </w:divBdr>
        </w:div>
        <w:div w:id="4660455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p-books.com/" TargetMode="External"/><Relationship Id="rId3" Type="http://schemas.openxmlformats.org/officeDocument/2006/relationships/settings" Target="settings.xml"/><Relationship Id="rId7" Type="http://schemas.openxmlformats.org/officeDocument/2006/relationships/hyperlink" Target="https://www.thefpa.co.uk/fpa_ho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tructuraltimber.co.uk/wp-content/uploads/2024/01/16stepstofiresafety-3.pdf" TargetMode="External"/><Relationship Id="rId5" Type="http://schemas.openxmlformats.org/officeDocument/2006/relationships/hyperlink" Target="mailto:hydrants@hantsfire.gov.u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1364</Words>
  <Characters>7778</Characters>
  <Application>Microsoft Office Word</Application>
  <DocSecurity>0</DocSecurity>
  <Lines>64</Lines>
  <Paragraphs>18</Paragraphs>
  <ScaleCrop>false</ScaleCrop>
  <Company/>
  <LinksUpToDate>false</LinksUpToDate>
  <CharactersWithSpaces>9124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Walker</dc:creator>
  <cp:keywords/>
  <dc:description/>
  <cp:lastModifiedBy>Jane Walker</cp:lastModifiedBy>
  <cp:revision>1</cp:revision>
  <dcterms:created xsi:type="dcterms:W3CDTF">2025-05-28T08:35:00Z</dcterms:created>
  <dcterms:modified xsi:type="dcterms:W3CDTF">2025-05-28T08:38:00Z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74b79e-0b12-4022-a0b6-3829b61a9aaa_Enabled">
    <vt:lpwstr>true</vt:lpwstr>
  </property>
  <property fmtid="{D5CDD505-2E9C-101B-9397-08002B2CF9AE}" pid="3" name="MSIP_Label_0374b79e-0b12-4022-a0b6-3829b61a9aaa_SetDate">
    <vt:lpwstr>2025-05-28T08:38:26Z</vt:lpwstr>
  </property>
  <property fmtid="{D5CDD505-2E9C-101B-9397-08002B2CF9AE}" pid="4" name="MSIP_Label_0374b79e-0b12-4022-a0b6-3829b61a9aaa_Method">
    <vt:lpwstr>Standard</vt:lpwstr>
  </property>
  <property fmtid="{D5CDD505-2E9C-101B-9397-08002B2CF9AE}" pid="5" name="MSIP_Label_0374b79e-0b12-4022-a0b6-3829b61a9aaa_Name">
    <vt:lpwstr>0374b79e-0b12-4022-a0b6-3829b61a9aaa</vt:lpwstr>
  </property>
  <property fmtid="{D5CDD505-2E9C-101B-9397-08002B2CF9AE}" pid="6" name="MSIP_Label_0374b79e-0b12-4022-a0b6-3829b61a9aaa_SiteId">
    <vt:lpwstr>25113e57-71ec-46db-8047-a1fa96b9b68d</vt:lpwstr>
  </property>
  <property fmtid="{D5CDD505-2E9C-101B-9397-08002B2CF9AE}" pid="7" name="MSIP_Label_0374b79e-0b12-4022-a0b6-3829b61a9aaa_ActionId">
    <vt:lpwstr>92411eb1-44c7-46c4-9fb6-480bcd8571f8</vt:lpwstr>
  </property>
  <property fmtid="{D5CDD505-2E9C-101B-9397-08002B2CF9AE}" pid="8" name="MSIP_Label_0374b79e-0b12-4022-a0b6-3829b61a9aaa_ContentBits">
    <vt:lpwstr>0</vt:lpwstr>
  </property>
  <property fmtid="{D5CDD505-2E9C-101B-9397-08002B2CF9AE}" pid="9" name="MSIP_Label_0374b79e-0b12-4022-a0b6-3829b61a9aaa_Tag">
    <vt:lpwstr>10, 3, 0, 1</vt:lpwstr>
  </property>
</Properties>
</file>