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C71EB" w14:textId="73AFC59E"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393D4485" w:rsidR="00D376DF" w:rsidRPr="00493D1E" w:rsidRDefault="0027172E"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098C68C6">
                <wp:simplePos x="0" y="0"/>
                <wp:positionH relativeFrom="column">
                  <wp:posOffset>20320</wp:posOffset>
                </wp:positionH>
                <wp:positionV relativeFrom="paragraph">
                  <wp:posOffset>407035</wp:posOffset>
                </wp:positionV>
                <wp:extent cx="5775960" cy="2438400"/>
                <wp:effectExtent l="0" t="0" r="1524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2438400"/>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1539F462"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856F38">
                              <w:rPr>
                                <w:rFonts w:ascii="Calibri" w:hAnsi="Calibri" w:cs="Calibri"/>
                                <w:b/>
                                <w:sz w:val="22"/>
                                <w:szCs w:val="22"/>
                              </w:rPr>
                              <w:t>27/4/26</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6DCAB383"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792A77">
                              <w:rPr>
                                <w:rFonts w:ascii="Calibri" w:hAnsi="Calibri" w:cs="Calibri"/>
                                <w:b/>
                                <w:sz w:val="22"/>
                                <w:szCs w:val="22"/>
                              </w:rPr>
                              <w:t>5</w:t>
                            </w:r>
                            <w:r w:rsidR="009D1590">
                              <w:rPr>
                                <w:rFonts w:ascii="Calibri" w:hAnsi="Calibri" w:cs="Calibri"/>
                                <w:b/>
                                <w:sz w:val="22"/>
                                <w:szCs w:val="22"/>
                              </w:rPr>
                              <w:t>/</w:t>
                            </w:r>
                            <w:r w:rsidR="00767F0F">
                              <w:rPr>
                                <w:rFonts w:ascii="Calibri" w:hAnsi="Calibri" w:cs="Calibri"/>
                                <w:b/>
                                <w:sz w:val="22"/>
                                <w:szCs w:val="22"/>
                              </w:rPr>
                              <w:t>00</w:t>
                            </w:r>
                            <w:r w:rsidR="00834EF5">
                              <w:rPr>
                                <w:rFonts w:ascii="Calibri" w:hAnsi="Calibri" w:cs="Calibri"/>
                                <w:b/>
                                <w:sz w:val="22"/>
                                <w:szCs w:val="22"/>
                              </w:rPr>
                              <w:t>174</w:t>
                            </w:r>
                          </w:p>
                          <w:p w14:paraId="458D1D24" w14:textId="4226EDDA"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DF7452">
                              <w:rPr>
                                <w:rFonts w:ascii="Calibri" w:hAnsi="Calibri" w:cs="Calibri"/>
                                <w:b/>
                                <w:sz w:val="22"/>
                                <w:szCs w:val="22"/>
                              </w:rPr>
                              <w:t xml:space="preserve"> </w:t>
                            </w:r>
                            <w:r w:rsidR="00834EF5">
                              <w:rPr>
                                <w:rFonts w:ascii="Calibri" w:hAnsi="Calibri" w:cs="Calibri"/>
                                <w:b/>
                                <w:sz w:val="22"/>
                                <w:szCs w:val="22"/>
                              </w:rPr>
                              <w:t xml:space="preserve">The Ship Inn, Langstone Road, Havant </w:t>
                            </w:r>
                          </w:p>
                          <w:p w14:paraId="122D52D5" w14:textId="526B56F6" w:rsidR="00181232" w:rsidRPr="004377FB" w:rsidRDefault="00970669" w:rsidP="00181232">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p>
                          <w:p w14:paraId="30CE3EED" w14:textId="7B8CF1B2" w:rsidR="0027172E" w:rsidRDefault="0027172E" w:rsidP="0027172E">
                            <w:pPr>
                              <w:pStyle w:val="Normal0"/>
                              <w:rPr>
                                <w:rFonts w:ascii="Calibri" w:hAnsi="Calibri" w:cs="Calibri"/>
                                <w:b/>
                                <w:sz w:val="22"/>
                                <w:szCs w:val="22"/>
                              </w:rPr>
                            </w:pPr>
                          </w:p>
                          <w:p w14:paraId="28D5E4F3" w14:textId="5F54C16D" w:rsidR="000D281E" w:rsidRPr="000D281E" w:rsidRDefault="00834EF5" w:rsidP="000D281E">
                            <w:pPr>
                              <w:pStyle w:val="Normal0"/>
                              <w:rPr>
                                <w:rFonts w:ascii="Calibri" w:hAnsi="Calibri" w:cs="Calibri"/>
                                <w:b/>
                                <w:sz w:val="22"/>
                                <w:szCs w:val="22"/>
                              </w:rPr>
                            </w:pPr>
                            <w:r w:rsidRPr="00834EF5">
                              <w:rPr>
                                <w:rFonts w:ascii="Calibri" w:hAnsi="Calibri" w:cs="Calibri"/>
                                <w:b/>
                                <w:sz w:val="22"/>
                                <w:szCs w:val="22"/>
                              </w:rPr>
                              <w:t>Listed Building Consent application for works to the Ship Inn to include raising and resurfacing of the carpark, provision of a retaining wall and steps to the southern courtyard, provision of replacement boundary wall to courtyard with brick-clad wall and flood glass barrier, provision of flood gate and new concrete footpath and low wall seaward of The Ship Inn Annex.</w:t>
                            </w:r>
                          </w:p>
                          <w:p w14:paraId="2D2B76F5" w14:textId="0EC5A034" w:rsidR="000C6896" w:rsidRPr="000C6896" w:rsidRDefault="000C6896" w:rsidP="000C6896">
                            <w:pPr>
                              <w:pStyle w:val="Normal0"/>
                              <w:rPr>
                                <w:rFonts w:ascii="Calibri" w:hAnsi="Calibri" w:cs="Calibri"/>
                                <w:b/>
                                <w:sz w:val="22"/>
                                <w:szCs w:val="22"/>
                              </w:rPr>
                            </w:pPr>
                          </w:p>
                          <w:p w14:paraId="3857469C" w14:textId="77777777" w:rsidR="000C6896" w:rsidRPr="0027172E" w:rsidRDefault="000C6896" w:rsidP="0027172E">
                            <w:pPr>
                              <w:pStyle w:val="Normal0"/>
                              <w:rPr>
                                <w:rFonts w:ascii="Calibri" w:hAnsi="Calibri" w:cs="Calibri"/>
                                <w:b/>
                                <w:sz w:val="22"/>
                                <w:szCs w:val="22"/>
                              </w:rPr>
                            </w:pPr>
                          </w:p>
                          <w:p w14:paraId="293CC352" w14:textId="2C17538F" w:rsidR="001B4EEA" w:rsidRPr="001B4EEA" w:rsidRDefault="001B4EEA" w:rsidP="001B4EEA">
                            <w:pPr>
                              <w:pStyle w:val="Normal0"/>
                              <w:rPr>
                                <w:rFonts w:ascii="Calibri" w:hAnsi="Calibri" w:cs="Calibri"/>
                                <w:b/>
                                <w:sz w:val="22"/>
                                <w:szCs w:val="22"/>
                              </w:rPr>
                            </w:pPr>
                          </w:p>
                          <w:p w14:paraId="59A277A2" w14:textId="52DAC915" w:rsidR="00767F0F" w:rsidRPr="00767F0F" w:rsidRDefault="00767F0F" w:rsidP="00767F0F">
                            <w:pPr>
                              <w:pStyle w:val="Normal0"/>
                              <w:rPr>
                                <w:rFonts w:ascii="Calibri" w:hAnsi="Calibri" w:cs="Calibri"/>
                                <w:b/>
                                <w:sz w:val="22"/>
                                <w:szCs w:val="22"/>
                              </w:rPr>
                            </w:pP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1.6pt;margin-top:32.05pt;width:454.8pt;height:1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" fillcolor="#c1e4f5 [660]">
                <v:textbox>
                  <w:txbxContent>
                    <w:p w14:paraId="7546DDFA" w14:textId="1539F462"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856F38">
                        <w:rPr>
                          <w:rFonts w:ascii="Calibri" w:hAnsi="Calibri" w:cs="Calibri"/>
                          <w:b/>
                          <w:sz w:val="22"/>
                          <w:szCs w:val="22"/>
                        </w:rPr>
                        <w:t>27/4/26</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6DCAB383"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792A77">
                        <w:rPr>
                          <w:rFonts w:ascii="Calibri" w:hAnsi="Calibri" w:cs="Calibri"/>
                          <w:b/>
                          <w:sz w:val="22"/>
                          <w:szCs w:val="22"/>
                        </w:rPr>
                        <w:t>5</w:t>
                      </w:r>
                      <w:r w:rsidR="009D1590">
                        <w:rPr>
                          <w:rFonts w:ascii="Calibri" w:hAnsi="Calibri" w:cs="Calibri"/>
                          <w:b/>
                          <w:sz w:val="22"/>
                          <w:szCs w:val="22"/>
                        </w:rPr>
                        <w:t>/</w:t>
                      </w:r>
                      <w:r w:rsidR="00767F0F">
                        <w:rPr>
                          <w:rFonts w:ascii="Calibri" w:hAnsi="Calibri" w:cs="Calibri"/>
                          <w:b/>
                          <w:sz w:val="22"/>
                          <w:szCs w:val="22"/>
                        </w:rPr>
                        <w:t>00</w:t>
                      </w:r>
                      <w:r w:rsidR="00834EF5">
                        <w:rPr>
                          <w:rFonts w:ascii="Calibri" w:hAnsi="Calibri" w:cs="Calibri"/>
                          <w:b/>
                          <w:sz w:val="22"/>
                          <w:szCs w:val="22"/>
                        </w:rPr>
                        <w:t>174</w:t>
                      </w:r>
                    </w:p>
                    <w:p w14:paraId="458D1D24" w14:textId="4226EDDA"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DF7452">
                        <w:rPr>
                          <w:rFonts w:ascii="Calibri" w:hAnsi="Calibri" w:cs="Calibri"/>
                          <w:b/>
                          <w:sz w:val="22"/>
                          <w:szCs w:val="22"/>
                        </w:rPr>
                        <w:t xml:space="preserve"> </w:t>
                      </w:r>
                      <w:r w:rsidR="00834EF5">
                        <w:rPr>
                          <w:rFonts w:ascii="Calibri" w:hAnsi="Calibri" w:cs="Calibri"/>
                          <w:b/>
                          <w:sz w:val="22"/>
                          <w:szCs w:val="22"/>
                        </w:rPr>
                        <w:t xml:space="preserve">The Ship Inn, Langstone Road, Havant </w:t>
                      </w:r>
                    </w:p>
                    <w:p w14:paraId="122D52D5" w14:textId="526B56F6" w:rsidR="00181232" w:rsidRPr="004377FB" w:rsidRDefault="00970669" w:rsidP="00181232">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p>
                    <w:p w14:paraId="30CE3EED" w14:textId="7B8CF1B2" w:rsidR="0027172E" w:rsidRDefault="0027172E" w:rsidP="0027172E">
                      <w:pPr>
                        <w:pStyle w:val="Normal0"/>
                        <w:rPr>
                          <w:rFonts w:ascii="Calibri" w:hAnsi="Calibri" w:cs="Calibri"/>
                          <w:b/>
                          <w:sz w:val="22"/>
                          <w:szCs w:val="22"/>
                        </w:rPr>
                      </w:pPr>
                    </w:p>
                    <w:p w14:paraId="28D5E4F3" w14:textId="5F54C16D" w:rsidR="000D281E" w:rsidRPr="000D281E" w:rsidRDefault="00834EF5" w:rsidP="000D281E">
                      <w:pPr>
                        <w:pStyle w:val="Normal0"/>
                        <w:rPr>
                          <w:rFonts w:ascii="Calibri" w:hAnsi="Calibri" w:cs="Calibri"/>
                          <w:b/>
                          <w:sz w:val="22"/>
                          <w:szCs w:val="22"/>
                        </w:rPr>
                      </w:pPr>
                      <w:r w:rsidRPr="00834EF5">
                        <w:rPr>
                          <w:rFonts w:ascii="Calibri" w:hAnsi="Calibri" w:cs="Calibri"/>
                          <w:b/>
                          <w:sz w:val="22"/>
                          <w:szCs w:val="22"/>
                        </w:rPr>
                        <w:t>Listed Building Consent application for works to the Ship Inn to include raising and resurfacing of the carpark, provision of a retaining wall and steps to the southern courtyard, provision of replacement boundary wall to courtyard with brick-clad wall and flood glass barrier, provision of flood gate and new concrete footpath and low wall seaward of The Ship Inn Annex.</w:t>
                      </w:r>
                    </w:p>
                    <w:p w14:paraId="2D2B76F5" w14:textId="0EC5A034" w:rsidR="000C6896" w:rsidRPr="000C6896" w:rsidRDefault="000C6896" w:rsidP="000C6896">
                      <w:pPr>
                        <w:pStyle w:val="Normal0"/>
                        <w:rPr>
                          <w:rFonts w:ascii="Calibri" w:hAnsi="Calibri" w:cs="Calibri"/>
                          <w:b/>
                          <w:sz w:val="22"/>
                          <w:szCs w:val="22"/>
                        </w:rPr>
                      </w:pPr>
                    </w:p>
                    <w:p w14:paraId="3857469C" w14:textId="77777777" w:rsidR="000C6896" w:rsidRPr="0027172E" w:rsidRDefault="000C6896" w:rsidP="0027172E">
                      <w:pPr>
                        <w:pStyle w:val="Normal0"/>
                        <w:rPr>
                          <w:rFonts w:ascii="Calibri" w:hAnsi="Calibri" w:cs="Calibri"/>
                          <w:b/>
                          <w:sz w:val="22"/>
                          <w:szCs w:val="22"/>
                        </w:rPr>
                      </w:pPr>
                    </w:p>
                    <w:p w14:paraId="293CC352" w14:textId="2C17538F" w:rsidR="001B4EEA" w:rsidRPr="001B4EEA" w:rsidRDefault="001B4EEA" w:rsidP="001B4EEA">
                      <w:pPr>
                        <w:pStyle w:val="Normal0"/>
                        <w:rPr>
                          <w:rFonts w:ascii="Calibri" w:hAnsi="Calibri" w:cs="Calibri"/>
                          <w:b/>
                          <w:sz w:val="22"/>
                          <w:szCs w:val="22"/>
                        </w:rPr>
                      </w:pPr>
                    </w:p>
                    <w:p w14:paraId="59A277A2" w14:textId="52DAC915" w:rsidR="00767F0F" w:rsidRPr="00767F0F" w:rsidRDefault="00767F0F" w:rsidP="00767F0F">
                      <w:pPr>
                        <w:pStyle w:val="Normal0"/>
                        <w:rPr>
                          <w:rFonts w:ascii="Calibri" w:hAnsi="Calibri" w:cs="Calibri"/>
                          <w:b/>
                          <w:sz w:val="22"/>
                          <w:szCs w:val="22"/>
                        </w:rPr>
                      </w:pP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5EDE8556" w14:textId="49F0020F" w:rsidR="00B335BB" w:rsidRDefault="00B12D34" w:rsidP="009D1590">
      <w:pPr>
        <w:rPr>
          <w:rFonts w:ascii="Calibri" w:hAnsi="Calibri" w:cs="Calibri"/>
          <w:b/>
          <w:bCs/>
          <w:sz w:val="22"/>
          <w:szCs w:val="22"/>
        </w:rPr>
      </w:pPr>
      <w:r w:rsidRPr="00493D1E">
        <w:rPr>
          <w:rFonts w:ascii="Calibri" w:hAnsi="Calibri" w:cs="Calibri"/>
          <w:b/>
          <w:bCs/>
          <w:sz w:val="22"/>
          <w:szCs w:val="22"/>
          <w:highlight w:val="lightGray"/>
        </w:rPr>
        <w:t>Site / Location</w:t>
      </w:r>
      <w:r w:rsidRPr="00493D1E">
        <w:rPr>
          <w:rFonts w:ascii="Calibri" w:hAnsi="Calibri" w:cs="Calibri"/>
          <w:b/>
          <w:bCs/>
          <w:sz w:val="22"/>
          <w:szCs w:val="22"/>
        </w:rPr>
        <w:t xml:space="preserve"> </w:t>
      </w:r>
      <w:r w:rsidR="009D1590">
        <w:rPr>
          <w:rFonts w:ascii="Calibri" w:hAnsi="Calibri" w:cs="Calibri"/>
          <w:b/>
          <w:bCs/>
          <w:sz w:val="22"/>
          <w:szCs w:val="22"/>
        </w:rPr>
        <w:t xml:space="preserve"> </w:t>
      </w:r>
    </w:p>
    <w:p w14:paraId="5728A9A6" w14:textId="22D1E8CC" w:rsidR="00C34A68" w:rsidRDefault="000B1774" w:rsidP="009D1590">
      <w:pPr>
        <w:rPr>
          <w:rFonts w:ascii="Calibri" w:hAnsi="Calibri" w:cs="Calibri"/>
          <w:sz w:val="22"/>
          <w:szCs w:val="22"/>
        </w:rPr>
      </w:pPr>
      <w:r w:rsidRPr="00B026B1">
        <w:rPr>
          <w:rFonts w:ascii="Calibri" w:hAnsi="Calibri" w:cs="Calibri"/>
          <w:sz w:val="22"/>
          <w:szCs w:val="22"/>
        </w:rPr>
        <w:t>The</w:t>
      </w:r>
      <w:r w:rsidR="00C5124F">
        <w:rPr>
          <w:rFonts w:ascii="Calibri" w:hAnsi="Calibri" w:cs="Calibri"/>
          <w:sz w:val="22"/>
          <w:szCs w:val="22"/>
        </w:rPr>
        <w:t xml:space="preserve"> application site is </w:t>
      </w:r>
      <w:proofErr w:type="gramStart"/>
      <w:r w:rsidR="002B4900">
        <w:rPr>
          <w:rFonts w:ascii="Calibri" w:hAnsi="Calibri" w:cs="Calibri"/>
          <w:sz w:val="22"/>
          <w:szCs w:val="22"/>
        </w:rPr>
        <w:t xml:space="preserve">the </w:t>
      </w:r>
      <w:r w:rsidR="002B4900" w:rsidRPr="00B026B1">
        <w:rPr>
          <w:rFonts w:ascii="Calibri" w:hAnsi="Calibri" w:cs="Calibri"/>
          <w:sz w:val="22"/>
          <w:szCs w:val="22"/>
        </w:rPr>
        <w:t xml:space="preserve"> </w:t>
      </w:r>
      <w:r w:rsidRPr="00B026B1">
        <w:rPr>
          <w:rFonts w:ascii="Calibri" w:hAnsi="Calibri" w:cs="Calibri"/>
          <w:sz w:val="22"/>
          <w:szCs w:val="22"/>
        </w:rPr>
        <w:t>Royal</w:t>
      </w:r>
      <w:proofErr w:type="gramEnd"/>
      <w:r w:rsidRPr="00B026B1">
        <w:rPr>
          <w:rFonts w:ascii="Calibri" w:hAnsi="Calibri" w:cs="Calibri"/>
          <w:sz w:val="22"/>
          <w:szCs w:val="22"/>
        </w:rPr>
        <w:t xml:space="preserve"> Oak</w:t>
      </w:r>
      <w:r w:rsidR="002B4900">
        <w:rPr>
          <w:rFonts w:ascii="Calibri" w:hAnsi="Calibri" w:cs="Calibri"/>
          <w:sz w:val="22"/>
          <w:szCs w:val="22"/>
        </w:rPr>
        <w:t>,</w:t>
      </w:r>
      <w:r w:rsidRPr="00B026B1">
        <w:rPr>
          <w:rFonts w:ascii="Calibri" w:hAnsi="Calibri" w:cs="Calibri"/>
          <w:sz w:val="22"/>
          <w:szCs w:val="22"/>
        </w:rPr>
        <w:t xml:space="preserve"> a Grade </w:t>
      </w:r>
      <w:r w:rsidR="00B026B1" w:rsidRPr="00B026B1">
        <w:rPr>
          <w:rFonts w:ascii="Calibri" w:hAnsi="Calibri" w:cs="Calibri"/>
          <w:sz w:val="22"/>
          <w:szCs w:val="22"/>
        </w:rPr>
        <w:t xml:space="preserve">II listed building, located within the Langstone Conservation Area. </w:t>
      </w:r>
      <w:r w:rsidR="00B026B1">
        <w:rPr>
          <w:rFonts w:ascii="Calibri" w:hAnsi="Calibri" w:cs="Calibri"/>
          <w:sz w:val="22"/>
          <w:szCs w:val="22"/>
        </w:rPr>
        <w:t xml:space="preserve">The listing description for the Royal Oak is as follows: </w:t>
      </w:r>
    </w:p>
    <w:p w14:paraId="75ABD6FF" w14:textId="7CBA9D22" w:rsidR="00B026B1" w:rsidRPr="00B026B1" w:rsidRDefault="00B026B1" w:rsidP="009D1590">
      <w:pPr>
        <w:rPr>
          <w:rFonts w:ascii="Calibri" w:hAnsi="Calibri" w:cs="Calibri"/>
          <w:i/>
          <w:iCs/>
          <w:sz w:val="22"/>
          <w:szCs w:val="22"/>
        </w:rPr>
      </w:pPr>
      <w:r w:rsidRPr="00B026B1">
        <w:rPr>
          <w:rFonts w:ascii="Calibri" w:hAnsi="Calibri" w:cs="Calibri"/>
          <w:i/>
          <w:iCs/>
          <w:sz w:val="22"/>
          <w:szCs w:val="22"/>
        </w:rPr>
        <w:t>‘Public House. Early C19. Painted brick, with a tile roof. 2 storeys and attic, 3.3 windows (some blank upper windows). Casements: 2 ground floor sashes. Modern doorways. Included for group value’.</w:t>
      </w:r>
    </w:p>
    <w:p w14:paraId="1AF80CEB" w14:textId="3360325F" w:rsidR="00C34A68" w:rsidRDefault="00ED1406" w:rsidP="00ED1406">
      <w:pPr>
        <w:jc w:val="both"/>
        <w:rPr>
          <w:rFonts w:ascii="Calibri" w:hAnsi="Calibri" w:cs="Calibri"/>
          <w:b/>
          <w:bCs/>
          <w:sz w:val="22"/>
          <w:szCs w:val="22"/>
        </w:rPr>
      </w:pPr>
      <w:r>
        <w:rPr>
          <w:rFonts w:ascii="Calibri" w:hAnsi="Calibri" w:cs="Calibri"/>
          <w:sz w:val="22"/>
          <w:szCs w:val="22"/>
        </w:rPr>
        <w:t>The building is located within the Langstone Conservation Area. The front elevation faces onto Chichester Harbour, with the existing coastal footpath being positioned directly in front of the listed buildings. To the immediate west of The Royal Oak Public House, is No. 18 Langstone High Street, also a Grade II listed building. To the rear…….</w:t>
      </w:r>
    </w:p>
    <w:p w14:paraId="6F8BE53F" w14:textId="24444FAB"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104D81F1" w14:textId="77777777" w:rsidR="001773AE" w:rsidRPr="002B0935" w:rsidRDefault="001773AE" w:rsidP="001773AE">
      <w:pPr>
        <w:jc w:val="both"/>
        <w:rPr>
          <w:rFonts w:ascii="Calibri" w:hAnsi="Calibri" w:cs="Calibri"/>
          <w:sz w:val="22"/>
          <w:szCs w:val="22"/>
        </w:rPr>
      </w:pPr>
      <w:r w:rsidRPr="002B0935">
        <w:rPr>
          <w:rFonts w:ascii="Calibri" w:hAnsi="Calibri" w:cs="Calibri"/>
          <w:sz w:val="22"/>
          <w:szCs w:val="22"/>
        </w:rPr>
        <w:t xml:space="preserve">In assessing the proposal, the following legislation and policy framework has been </w:t>
      </w:r>
      <w:proofErr w:type="gramStart"/>
      <w:r w:rsidRPr="002B0935">
        <w:rPr>
          <w:rFonts w:ascii="Calibri" w:hAnsi="Calibri" w:cs="Calibri"/>
          <w:sz w:val="22"/>
          <w:szCs w:val="22"/>
        </w:rPr>
        <w:t>taken into account</w:t>
      </w:r>
      <w:proofErr w:type="gramEnd"/>
      <w:r w:rsidRPr="002B0935">
        <w:rPr>
          <w:rFonts w:ascii="Calibri" w:hAnsi="Calibri" w:cs="Calibri"/>
          <w:sz w:val="22"/>
          <w:szCs w:val="22"/>
        </w:rPr>
        <w:t>:</w:t>
      </w:r>
    </w:p>
    <w:p w14:paraId="087EB72C" w14:textId="77777777" w:rsidR="001773AE" w:rsidRPr="002B0935" w:rsidRDefault="001773AE" w:rsidP="001773AE">
      <w:pPr>
        <w:jc w:val="both"/>
        <w:rPr>
          <w:rFonts w:ascii="Calibri" w:hAnsi="Calibri" w:cs="Calibri"/>
          <w:sz w:val="22"/>
          <w:szCs w:val="22"/>
        </w:rPr>
      </w:pPr>
      <w:r w:rsidRPr="002B0935">
        <w:rPr>
          <w:rFonts w:ascii="Calibri" w:hAnsi="Calibri" w:cs="Calibri"/>
          <w:sz w:val="22"/>
          <w:szCs w:val="22"/>
        </w:rPr>
        <w:t>Planning (Listed Buildings and Conservation Areas) Act 1990</w:t>
      </w:r>
    </w:p>
    <w:p w14:paraId="0045C471" w14:textId="77777777" w:rsidR="001773AE" w:rsidRPr="002B0935" w:rsidRDefault="001773AE" w:rsidP="001773AE">
      <w:pPr>
        <w:numPr>
          <w:ilvl w:val="0"/>
          <w:numId w:val="20"/>
        </w:numPr>
        <w:jc w:val="both"/>
        <w:rPr>
          <w:rFonts w:ascii="Calibri" w:hAnsi="Calibri" w:cs="Calibri"/>
          <w:sz w:val="22"/>
          <w:szCs w:val="22"/>
        </w:rPr>
      </w:pPr>
      <w:r w:rsidRPr="002B0935">
        <w:rPr>
          <w:rFonts w:ascii="Calibri" w:hAnsi="Calibri" w:cs="Calibri"/>
          <w:sz w:val="22"/>
          <w:szCs w:val="22"/>
        </w:rPr>
        <w:t>Section 16 of the Planning (Listed Buildings and Conservation Areas) Act 1990 requires local planning authorities, when considering whether to grant listed building consent, to have special regard to the desirability of preserving the listed building, its setting, and any features of special architectural or historic interest which it possesses.</w:t>
      </w:r>
    </w:p>
    <w:p w14:paraId="17DD080F" w14:textId="2324B13E" w:rsidR="002A25D7" w:rsidRDefault="002A25D7" w:rsidP="001773AE">
      <w:pPr>
        <w:jc w:val="both"/>
        <w:rPr>
          <w:rFonts w:ascii="Calibri" w:hAnsi="Calibri" w:cs="Calibri"/>
          <w:b/>
          <w:bCs/>
          <w:sz w:val="22"/>
          <w:szCs w:val="22"/>
          <w:u w:val="single"/>
        </w:rPr>
      </w:pPr>
      <w:r w:rsidRPr="001773AE">
        <w:rPr>
          <w:rFonts w:ascii="Calibri" w:hAnsi="Calibri" w:cs="Calibri"/>
          <w:b/>
          <w:bCs/>
          <w:sz w:val="22"/>
          <w:szCs w:val="22"/>
          <w:u w:val="single"/>
        </w:rPr>
        <w:t xml:space="preserve">National Planning Policy Framework </w:t>
      </w:r>
      <w:r w:rsidR="00B374C1" w:rsidRPr="001773AE">
        <w:rPr>
          <w:rFonts w:ascii="Calibri" w:hAnsi="Calibri" w:cs="Calibri"/>
          <w:b/>
          <w:bCs/>
          <w:sz w:val="22"/>
          <w:szCs w:val="22"/>
          <w:u w:val="single"/>
        </w:rPr>
        <w:t>(revised</w:t>
      </w:r>
      <w:r w:rsidRPr="001773AE">
        <w:rPr>
          <w:rFonts w:ascii="Calibri" w:hAnsi="Calibri" w:cs="Calibri"/>
          <w:b/>
          <w:bCs/>
          <w:sz w:val="22"/>
          <w:szCs w:val="22"/>
          <w:u w:val="single"/>
        </w:rPr>
        <w:t xml:space="preserve"> </w:t>
      </w:r>
      <w:r w:rsidR="00FA12C0" w:rsidRPr="001773AE">
        <w:rPr>
          <w:rFonts w:ascii="Calibri" w:hAnsi="Calibri" w:cs="Calibri"/>
          <w:b/>
          <w:bCs/>
          <w:sz w:val="22"/>
          <w:szCs w:val="22"/>
          <w:u w:val="single"/>
        </w:rPr>
        <w:t>December</w:t>
      </w:r>
      <w:r w:rsidRPr="001773AE">
        <w:rPr>
          <w:rFonts w:ascii="Calibri" w:hAnsi="Calibri" w:cs="Calibri"/>
          <w:b/>
          <w:bCs/>
          <w:sz w:val="22"/>
          <w:szCs w:val="22"/>
          <w:u w:val="single"/>
        </w:rPr>
        <w:t xml:space="preserve"> 202</w:t>
      </w:r>
      <w:r w:rsidR="00FA12C0" w:rsidRPr="001773AE">
        <w:rPr>
          <w:rFonts w:ascii="Calibri" w:hAnsi="Calibri" w:cs="Calibri"/>
          <w:b/>
          <w:bCs/>
          <w:sz w:val="22"/>
          <w:szCs w:val="22"/>
          <w:u w:val="single"/>
        </w:rPr>
        <w:t>4</w:t>
      </w:r>
      <w:r w:rsidRPr="001773AE">
        <w:rPr>
          <w:rFonts w:ascii="Calibri" w:hAnsi="Calibri" w:cs="Calibri"/>
          <w:b/>
          <w:bCs/>
          <w:sz w:val="22"/>
          <w:szCs w:val="22"/>
          <w:u w:val="single"/>
        </w:rPr>
        <w:t>)</w:t>
      </w:r>
    </w:p>
    <w:p w14:paraId="48A6FB82" w14:textId="77777777" w:rsidR="005B3E8F" w:rsidRPr="00B74C5D" w:rsidRDefault="005B3E8F" w:rsidP="005B3E8F">
      <w:pPr>
        <w:jc w:val="both"/>
        <w:rPr>
          <w:rFonts w:ascii="Calibri" w:hAnsi="Calibri" w:cs="Calibri"/>
          <w:sz w:val="22"/>
          <w:szCs w:val="22"/>
        </w:rPr>
      </w:pPr>
      <w:r w:rsidRPr="00B74C5D">
        <w:rPr>
          <w:rFonts w:ascii="Calibri" w:hAnsi="Calibri" w:cs="Calibri"/>
          <w:sz w:val="22"/>
          <w:szCs w:val="22"/>
        </w:rPr>
        <w:t>Chapter 16 of the National Planning Policy Framework (NPPF) relates to Conserving and Enhancing the Historic Environment (paragraphs 202–221). The following policies are most relevant to the determination of this application:</w:t>
      </w:r>
    </w:p>
    <w:p w14:paraId="490B7395" w14:textId="77777777" w:rsidR="005B3E8F" w:rsidRPr="00B74C5D" w:rsidRDefault="005B3E8F" w:rsidP="005B3E8F">
      <w:pPr>
        <w:numPr>
          <w:ilvl w:val="0"/>
          <w:numId w:val="21"/>
        </w:numPr>
        <w:jc w:val="both"/>
        <w:rPr>
          <w:rFonts w:ascii="Calibri" w:hAnsi="Calibri" w:cs="Calibri"/>
          <w:sz w:val="22"/>
          <w:szCs w:val="22"/>
        </w:rPr>
      </w:pPr>
      <w:r w:rsidRPr="00B74C5D">
        <w:rPr>
          <w:rFonts w:ascii="Calibri" w:hAnsi="Calibri" w:cs="Calibri"/>
          <w:sz w:val="22"/>
          <w:szCs w:val="22"/>
        </w:rPr>
        <w:t>Paragraph 212 states that:</w:t>
      </w:r>
    </w:p>
    <w:p w14:paraId="575DEE4C" w14:textId="77777777" w:rsidR="005B3E8F" w:rsidRPr="00B74C5D" w:rsidRDefault="005B3E8F" w:rsidP="005B3E8F">
      <w:pPr>
        <w:jc w:val="both"/>
        <w:rPr>
          <w:rFonts w:ascii="Calibri" w:hAnsi="Calibri" w:cs="Calibri"/>
          <w:b/>
          <w:bCs/>
          <w:sz w:val="22"/>
          <w:szCs w:val="22"/>
          <w:u w:val="single"/>
        </w:rPr>
      </w:pPr>
      <w:r w:rsidRPr="00B74C5D">
        <w:rPr>
          <w:rFonts w:ascii="Calibri" w:hAnsi="Calibri" w:cs="Calibri"/>
          <w:i/>
          <w:iCs/>
          <w:sz w:val="22"/>
          <w:szCs w:val="22"/>
        </w:rPr>
        <w:t xml:space="preserve">“When considering the impact of a proposed development on the significance of a designated heritage asset, great weight should be given to the asset’s conservation (and the more important the asset, the </w:t>
      </w:r>
      <w:r w:rsidRPr="00B74C5D">
        <w:rPr>
          <w:rFonts w:ascii="Calibri" w:hAnsi="Calibri" w:cs="Calibri"/>
          <w:i/>
          <w:iCs/>
          <w:sz w:val="22"/>
          <w:szCs w:val="22"/>
        </w:rPr>
        <w:lastRenderedPageBreak/>
        <w:t>greater the weight should be). This is irrespective of whether any potential harm amounts to substantial harm, total loss or less than substantial harm to its significance.”</w:t>
      </w:r>
    </w:p>
    <w:p w14:paraId="498BCB46" w14:textId="77777777" w:rsidR="005B3E8F" w:rsidRPr="00B74C5D" w:rsidRDefault="005B3E8F" w:rsidP="005B3E8F">
      <w:pPr>
        <w:numPr>
          <w:ilvl w:val="0"/>
          <w:numId w:val="21"/>
        </w:numPr>
        <w:jc w:val="both"/>
        <w:rPr>
          <w:rFonts w:ascii="Calibri" w:hAnsi="Calibri" w:cs="Calibri"/>
          <w:sz w:val="22"/>
          <w:szCs w:val="22"/>
        </w:rPr>
      </w:pPr>
      <w:r w:rsidRPr="00B74C5D">
        <w:rPr>
          <w:rFonts w:ascii="Calibri" w:hAnsi="Calibri" w:cs="Calibri"/>
          <w:sz w:val="22"/>
          <w:szCs w:val="22"/>
        </w:rPr>
        <w:t>Paragraph 214 states that:</w:t>
      </w:r>
    </w:p>
    <w:p w14:paraId="13022B54" w14:textId="77777777" w:rsidR="005B3E8F" w:rsidRPr="00B74C5D" w:rsidRDefault="005B3E8F" w:rsidP="005B3E8F">
      <w:pPr>
        <w:jc w:val="both"/>
        <w:rPr>
          <w:rFonts w:ascii="Calibri" w:hAnsi="Calibri" w:cs="Calibri"/>
          <w:sz w:val="22"/>
          <w:szCs w:val="22"/>
        </w:rPr>
      </w:pPr>
      <w:r w:rsidRPr="00B74C5D">
        <w:rPr>
          <w:rFonts w:ascii="Calibri" w:hAnsi="Calibri" w:cs="Calibri"/>
          <w:i/>
          <w:iCs/>
          <w:sz w:val="22"/>
          <w:szCs w:val="22"/>
        </w:rPr>
        <w:t>“Where a development will lead to substantial harm to, or total loss of, the significance of a designated heritage asset, permission should be refused, unless it can be demonstrated that the harm is necessary to achieve substantial public benefits, or certain specified criteria are met.”</w:t>
      </w:r>
    </w:p>
    <w:p w14:paraId="5544E266" w14:textId="77777777" w:rsidR="005B3E8F" w:rsidRPr="00B74C5D" w:rsidRDefault="005B3E8F" w:rsidP="005B3E8F">
      <w:pPr>
        <w:numPr>
          <w:ilvl w:val="0"/>
          <w:numId w:val="21"/>
        </w:numPr>
        <w:jc w:val="both"/>
        <w:rPr>
          <w:rFonts w:ascii="Calibri" w:hAnsi="Calibri" w:cs="Calibri"/>
          <w:sz w:val="22"/>
          <w:szCs w:val="22"/>
        </w:rPr>
      </w:pPr>
      <w:r w:rsidRPr="00B74C5D">
        <w:rPr>
          <w:rFonts w:ascii="Calibri" w:hAnsi="Calibri" w:cs="Calibri"/>
          <w:sz w:val="22"/>
          <w:szCs w:val="22"/>
        </w:rPr>
        <w:t>Paragraph 215 states that:</w:t>
      </w:r>
    </w:p>
    <w:p w14:paraId="4EAE3553" w14:textId="77777777" w:rsidR="005B3E8F" w:rsidRPr="00EE1032" w:rsidRDefault="005B3E8F" w:rsidP="005B3E8F">
      <w:pPr>
        <w:jc w:val="both"/>
        <w:rPr>
          <w:rFonts w:ascii="Calibri" w:hAnsi="Calibri" w:cs="Calibri"/>
          <w:sz w:val="22"/>
          <w:szCs w:val="22"/>
        </w:rPr>
      </w:pPr>
      <w:r w:rsidRPr="00B74C5D">
        <w:rPr>
          <w:rFonts w:ascii="Calibri" w:hAnsi="Calibri" w:cs="Calibri"/>
          <w:i/>
          <w:iCs/>
          <w:sz w:val="22"/>
          <w:szCs w:val="22"/>
        </w:rPr>
        <w:t>“Where a development proposal will lead to less than substantial harm to the significance of a designated heritage asset, this harm should be weighed against the public benefits of the proposal, including, where appropriate, securing its optimum viable use.”</w:t>
      </w:r>
    </w:p>
    <w:p w14:paraId="2DCC8E94" w14:textId="2486C394"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t>Havant Borough Local Plan (Core Strategy 2011 and Allocations Plan 2014)</w:t>
      </w:r>
    </w:p>
    <w:p w14:paraId="198AAFE1" w14:textId="51BABED4" w:rsidR="00B374C1" w:rsidRPr="00493D1E" w:rsidRDefault="00B374C1" w:rsidP="00B12D34">
      <w:pPr>
        <w:jc w:val="both"/>
        <w:rPr>
          <w:rFonts w:ascii="Calibri" w:hAnsi="Calibri" w:cs="Calibri"/>
          <w:b/>
          <w:bCs/>
          <w:sz w:val="22"/>
          <w:szCs w:val="22"/>
        </w:rPr>
      </w:pPr>
      <w:r w:rsidRPr="00493D1E">
        <w:rPr>
          <w:rFonts w:ascii="Calibri" w:hAnsi="Calibri" w:cs="Calibri"/>
          <w:b/>
          <w:bCs/>
          <w:sz w:val="22"/>
          <w:szCs w:val="22"/>
        </w:rPr>
        <w:t xml:space="preserve">Policy CS11 </w:t>
      </w:r>
      <w:r w:rsidR="002F6E50" w:rsidRPr="00493D1E">
        <w:rPr>
          <w:rFonts w:ascii="Calibri" w:hAnsi="Calibri" w:cs="Calibri"/>
          <w:b/>
          <w:bCs/>
          <w:sz w:val="22"/>
          <w:szCs w:val="22"/>
        </w:rPr>
        <w:t>–</w:t>
      </w:r>
      <w:r w:rsidRPr="00493D1E">
        <w:rPr>
          <w:rFonts w:ascii="Calibri" w:hAnsi="Calibri" w:cs="Calibri"/>
          <w:b/>
          <w:bCs/>
          <w:sz w:val="22"/>
          <w:szCs w:val="22"/>
        </w:rPr>
        <w:t xml:space="preserve"> </w:t>
      </w:r>
      <w:r w:rsidR="002F6E50" w:rsidRPr="00493D1E">
        <w:rPr>
          <w:rFonts w:ascii="Calibri" w:hAnsi="Calibri" w:cs="Calibri"/>
          <w:b/>
          <w:bCs/>
          <w:sz w:val="22"/>
          <w:szCs w:val="22"/>
        </w:rPr>
        <w:t>Protecting and Enhancing the Special Environment and Heritage of the Havant Borough</w:t>
      </w:r>
    </w:p>
    <w:p w14:paraId="01A18618" w14:textId="0FD63D68" w:rsidR="00B374C1" w:rsidRPr="00493D1E" w:rsidRDefault="002F6E50" w:rsidP="00B374C1">
      <w:pPr>
        <w:jc w:val="both"/>
        <w:rPr>
          <w:rFonts w:ascii="Calibri" w:hAnsi="Calibri" w:cs="Calibri"/>
          <w:bCs/>
          <w:sz w:val="22"/>
          <w:szCs w:val="22"/>
        </w:rPr>
      </w:pPr>
      <w:r w:rsidRPr="00493D1E">
        <w:rPr>
          <w:rFonts w:ascii="Calibri" w:hAnsi="Calibri" w:cs="Calibri"/>
          <w:sz w:val="22"/>
          <w:szCs w:val="22"/>
        </w:rPr>
        <w:t xml:space="preserve">Policy CS11 (4) states that </w:t>
      </w:r>
      <w:r w:rsidR="00B374C1" w:rsidRPr="00493D1E">
        <w:rPr>
          <w:rFonts w:ascii="Calibri" w:hAnsi="Calibri" w:cs="Calibri"/>
          <w:bCs/>
          <w:sz w:val="22"/>
          <w:szCs w:val="22"/>
        </w:rPr>
        <w:t xml:space="preserve">planning permission will be granted for development </w:t>
      </w:r>
      <w:r w:rsidRPr="00493D1E">
        <w:rPr>
          <w:rFonts w:ascii="Calibri" w:hAnsi="Calibri" w:cs="Calibri"/>
          <w:bCs/>
          <w:sz w:val="22"/>
          <w:szCs w:val="22"/>
        </w:rPr>
        <w:t xml:space="preserve">which: </w:t>
      </w:r>
    </w:p>
    <w:p w14:paraId="2CA1E6DD" w14:textId="596C7417" w:rsidR="00B374C1" w:rsidRPr="00493D1E" w:rsidRDefault="002F6E50" w:rsidP="00B374C1">
      <w:pPr>
        <w:jc w:val="both"/>
        <w:rPr>
          <w:rFonts w:ascii="Calibri" w:hAnsi="Calibri" w:cs="Calibri"/>
          <w:i/>
          <w:iCs/>
          <w:sz w:val="22"/>
          <w:szCs w:val="22"/>
        </w:rPr>
      </w:pPr>
      <w:r w:rsidRPr="00493D1E">
        <w:rPr>
          <w:rFonts w:ascii="Calibri" w:hAnsi="Calibri" w:cs="Calibri"/>
          <w:i/>
          <w:iCs/>
          <w:sz w:val="22"/>
          <w:szCs w:val="22"/>
        </w:rPr>
        <w:t>‘</w:t>
      </w:r>
      <w:r w:rsidR="00B374C1" w:rsidRPr="00493D1E">
        <w:rPr>
          <w:rFonts w:ascii="Calibri" w:hAnsi="Calibri" w:cs="Calibri"/>
          <w:i/>
          <w:iCs/>
          <w:sz w:val="22"/>
          <w:szCs w:val="22"/>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r w:rsidRPr="00493D1E">
        <w:rPr>
          <w:rFonts w:ascii="Calibri" w:hAnsi="Calibri" w:cs="Calibri"/>
          <w:i/>
          <w:iCs/>
          <w:sz w:val="22"/>
          <w:szCs w:val="22"/>
        </w:rPr>
        <w:t>’</w:t>
      </w:r>
      <w:r w:rsidR="00B374C1" w:rsidRPr="00493D1E">
        <w:rPr>
          <w:rFonts w:ascii="Calibri" w:hAnsi="Calibri" w:cs="Calibri"/>
          <w:i/>
          <w:iCs/>
          <w:sz w:val="22"/>
          <w:szCs w:val="22"/>
        </w:rPr>
        <w:t>.</w:t>
      </w:r>
    </w:p>
    <w:p w14:paraId="640D0AA1" w14:textId="475EAA5A" w:rsidR="002F6E50" w:rsidRPr="00493D1E" w:rsidRDefault="002F6E50" w:rsidP="00B374C1">
      <w:pPr>
        <w:jc w:val="both"/>
        <w:rPr>
          <w:rFonts w:ascii="Calibri" w:hAnsi="Calibri" w:cs="Calibri"/>
          <w:b/>
          <w:bCs/>
          <w:sz w:val="22"/>
          <w:szCs w:val="22"/>
        </w:rPr>
      </w:pPr>
      <w:r w:rsidRPr="00493D1E">
        <w:rPr>
          <w:rFonts w:ascii="Calibri" w:hAnsi="Calibri" w:cs="Calibri"/>
          <w:b/>
          <w:bCs/>
          <w:sz w:val="22"/>
          <w:szCs w:val="22"/>
        </w:rPr>
        <w:t xml:space="preserve">Policy CS16 – High Quality Design </w:t>
      </w:r>
    </w:p>
    <w:p w14:paraId="2296A468"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CP16 (1a) of the Core Strategy states</w:t>
      </w:r>
      <w:r w:rsidR="00A75182" w:rsidRPr="00493D1E">
        <w:rPr>
          <w:rFonts w:ascii="Calibri" w:hAnsi="Calibri" w:cs="Calibri"/>
          <w:sz w:val="22"/>
          <w:szCs w:val="22"/>
        </w:rPr>
        <w:t xml:space="preserve"> that: </w:t>
      </w:r>
      <w:r w:rsidRPr="00493D1E">
        <w:rPr>
          <w:rFonts w:ascii="Calibri" w:hAnsi="Calibri" w:cs="Calibri"/>
          <w:sz w:val="22"/>
          <w:szCs w:val="22"/>
        </w:rPr>
        <w:t xml:space="preserve"> </w:t>
      </w:r>
    </w:p>
    <w:p w14:paraId="5A228334" w14:textId="037B0C61" w:rsidR="00B374C1" w:rsidRPr="00493D1E" w:rsidRDefault="00B374C1" w:rsidP="00B374C1">
      <w:pPr>
        <w:jc w:val="both"/>
        <w:rPr>
          <w:rFonts w:ascii="Calibri" w:hAnsi="Calibri" w:cs="Calibri"/>
          <w:i/>
          <w:iCs/>
          <w:sz w:val="22"/>
          <w:szCs w:val="22"/>
        </w:rPr>
      </w:pPr>
      <w:r w:rsidRPr="00493D1E">
        <w:rPr>
          <w:rFonts w:ascii="Calibri" w:hAnsi="Calibri" w:cs="Calibri"/>
          <w:i/>
          <w:iCs/>
          <w:sz w:val="22"/>
          <w:szCs w:val="22"/>
        </w:rPr>
        <w:t>‘Planning permission will be granted for development that is designed to a high standard, which helps to create places where people want to live, work and relax. All development should demonstrate that its design:</w:t>
      </w:r>
    </w:p>
    <w:p w14:paraId="79103BD7" w14:textId="54F4535D" w:rsidR="00B374C1" w:rsidRPr="00493D1E" w:rsidRDefault="00B374C1"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Identifies and responds positively to existing features of natural, historic or local character within or close to the proposed development site’.</w:t>
      </w:r>
    </w:p>
    <w:p w14:paraId="16F6C0AB"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Integrates with existing local landscape features, promotes wildlife and biodiversity and/or applies characteristics of the local area into the design of a scheme wherever possible to create variety and interest; </w:t>
      </w:r>
    </w:p>
    <w:p w14:paraId="49E1B0FD"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Uses the characteristics of the locality to help inform the design of the new development including heights, massing, existing buildings lines, plot widths and depths, materials and proportions of windows and doors; </w:t>
      </w:r>
    </w:p>
    <w:p w14:paraId="6BB501BA"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Is well connected to and integrates with the immediate local area and the wider area by linking to existing pedestrian and cycle routes and encouraging people to use public transport where possible; and </w:t>
      </w:r>
    </w:p>
    <w:p w14:paraId="18E20928" w14:textId="3B06C9B6"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The development does not cause unacceptable harm to the amenity of neighbours through smell, the loss of privacy, outlook, noise and overlooking.</w:t>
      </w:r>
    </w:p>
    <w:p w14:paraId="7A6F54BD" w14:textId="404A7A77" w:rsidR="00A75182" w:rsidRPr="00493D1E" w:rsidRDefault="00A75182" w:rsidP="00B374C1">
      <w:pPr>
        <w:jc w:val="both"/>
        <w:rPr>
          <w:rFonts w:ascii="Calibri" w:hAnsi="Calibri" w:cs="Calibri"/>
          <w:b/>
          <w:bCs/>
          <w:sz w:val="22"/>
          <w:szCs w:val="22"/>
        </w:rPr>
      </w:pPr>
      <w:r w:rsidRPr="00493D1E">
        <w:rPr>
          <w:rFonts w:ascii="Calibri" w:hAnsi="Calibri" w:cs="Calibri"/>
          <w:b/>
          <w:bCs/>
          <w:sz w:val="22"/>
          <w:szCs w:val="22"/>
        </w:rPr>
        <w:t xml:space="preserve">Policy DM20 (Allocations Plan) - Historic Assets </w:t>
      </w:r>
    </w:p>
    <w:p w14:paraId="48DC8A75"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DM20 states that</w:t>
      </w:r>
      <w:r w:rsidR="00A75182" w:rsidRPr="00493D1E">
        <w:rPr>
          <w:rFonts w:ascii="Calibri" w:hAnsi="Calibri" w:cs="Calibri"/>
          <w:sz w:val="22"/>
          <w:szCs w:val="22"/>
        </w:rPr>
        <w:t xml:space="preserve">; </w:t>
      </w:r>
      <w:r w:rsidRPr="00493D1E">
        <w:rPr>
          <w:rFonts w:ascii="Calibri" w:hAnsi="Calibri" w:cs="Calibri"/>
          <w:sz w:val="22"/>
          <w:szCs w:val="22"/>
        </w:rPr>
        <w:t xml:space="preserve"> </w:t>
      </w:r>
    </w:p>
    <w:p w14:paraId="7ED49672" w14:textId="0B1200E1" w:rsidR="00B374C1" w:rsidRPr="00493D1E" w:rsidRDefault="00A75182" w:rsidP="00B374C1">
      <w:pPr>
        <w:jc w:val="both"/>
        <w:rPr>
          <w:rFonts w:ascii="Calibri" w:hAnsi="Calibri" w:cs="Calibri"/>
          <w:i/>
          <w:iCs/>
          <w:sz w:val="22"/>
          <w:szCs w:val="22"/>
        </w:rPr>
      </w:pPr>
      <w:r w:rsidRPr="00493D1E">
        <w:rPr>
          <w:rFonts w:ascii="Calibri" w:hAnsi="Calibri" w:cs="Calibri"/>
          <w:i/>
          <w:iCs/>
          <w:sz w:val="22"/>
          <w:szCs w:val="22"/>
        </w:rPr>
        <w:lastRenderedPageBreak/>
        <w:t>‘Planning</w:t>
      </w:r>
      <w:r w:rsidR="00B374C1" w:rsidRPr="00493D1E">
        <w:rPr>
          <w:rFonts w:ascii="Calibri" w:hAnsi="Calibri" w:cs="Calibri"/>
          <w:i/>
          <w:iCs/>
          <w:sz w:val="22"/>
          <w:szCs w:val="22"/>
        </w:rPr>
        <w:t xml:space="preserve"> permission will be granted for development proposals that conserves and enhances the historic assets of Havant. It also states that application which affect, or have the potential to affect, heritage assets are expected to provide a Heritage Statement that: </w:t>
      </w:r>
    </w:p>
    <w:p w14:paraId="03A46E2D" w14:textId="384B6FFB"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1. Describe the significance of the asset and its setting, using appropriate expertise</w:t>
      </w:r>
      <w:r w:rsidR="00D627B4">
        <w:rPr>
          <w:rFonts w:ascii="Calibri" w:hAnsi="Calibri" w:cs="Calibri"/>
          <w:bCs/>
          <w:i/>
          <w:iCs/>
          <w:sz w:val="22"/>
          <w:szCs w:val="22"/>
        </w:rPr>
        <w:t xml:space="preserve"> </w:t>
      </w:r>
      <w:r w:rsidRPr="00493D1E">
        <w:rPr>
          <w:rFonts w:ascii="Calibri" w:hAnsi="Calibri" w:cs="Calibri"/>
          <w:bCs/>
          <w:i/>
          <w:iCs/>
          <w:sz w:val="22"/>
          <w:szCs w:val="22"/>
        </w:rPr>
        <w:t>and where necessary original survey, at a level of detail proportionate to its</w:t>
      </w:r>
      <w:r w:rsidR="00D627B4">
        <w:rPr>
          <w:rFonts w:ascii="Calibri" w:hAnsi="Calibri" w:cs="Calibri"/>
          <w:bCs/>
          <w:i/>
          <w:iCs/>
          <w:sz w:val="22"/>
          <w:szCs w:val="22"/>
        </w:rPr>
        <w:t xml:space="preserve"> </w:t>
      </w:r>
      <w:r w:rsidRPr="00493D1E">
        <w:rPr>
          <w:rFonts w:ascii="Calibri" w:hAnsi="Calibri" w:cs="Calibri"/>
          <w:bCs/>
          <w:i/>
          <w:iCs/>
          <w:sz w:val="22"/>
          <w:szCs w:val="22"/>
        </w:rPr>
        <w:t>significance and sufficient to understand the potential impact of the proposal.</w:t>
      </w:r>
    </w:p>
    <w:p w14:paraId="56236F77"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p>
    <w:p w14:paraId="3A7BB90C" w14:textId="3776E2D8" w:rsidR="00D627B4" w:rsidRDefault="00B374C1" w:rsidP="00D627B4">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2. Sets out the impact of the development on the heritage assets and mitigation that is</w:t>
      </w:r>
      <w:r w:rsidR="00D627B4">
        <w:rPr>
          <w:rFonts w:ascii="Calibri" w:hAnsi="Calibri" w:cs="Calibri"/>
          <w:bCs/>
          <w:i/>
          <w:iCs/>
          <w:sz w:val="22"/>
          <w:szCs w:val="22"/>
        </w:rPr>
        <w:t xml:space="preserve"> </w:t>
      </w:r>
      <w:r w:rsidRPr="00493D1E">
        <w:rPr>
          <w:rFonts w:ascii="Calibri" w:hAnsi="Calibri" w:cs="Calibri"/>
          <w:bCs/>
          <w:i/>
          <w:iCs/>
          <w:sz w:val="22"/>
          <w:szCs w:val="22"/>
        </w:rPr>
        <w:t>proportionate to the impact and the significance of the heritage asset, including</w:t>
      </w:r>
      <w:r w:rsidR="00D627B4">
        <w:rPr>
          <w:rFonts w:ascii="Calibri" w:hAnsi="Calibri" w:cs="Calibri"/>
          <w:bCs/>
          <w:i/>
          <w:iCs/>
          <w:sz w:val="22"/>
          <w:szCs w:val="22"/>
        </w:rPr>
        <w:t xml:space="preserve"> </w:t>
      </w:r>
      <w:r w:rsidRPr="00493D1E">
        <w:rPr>
          <w:rFonts w:ascii="Calibri" w:hAnsi="Calibri" w:cs="Calibri"/>
          <w:bCs/>
          <w:i/>
          <w:iCs/>
          <w:sz w:val="22"/>
          <w:szCs w:val="22"/>
        </w:rPr>
        <w:t>where possible positive opportunities to conserve and enjoy heritage assets.</w:t>
      </w:r>
    </w:p>
    <w:p w14:paraId="1C167FC4" w14:textId="77777777" w:rsidR="00D627B4" w:rsidRDefault="00D627B4" w:rsidP="00D627B4">
      <w:pPr>
        <w:autoSpaceDE w:val="0"/>
        <w:autoSpaceDN w:val="0"/>
        <w:adjustRightInd w:val="0"/>
        <w:spacing w:after="0" w:line="240" w:lineRule="auto"/>
        <w:jc w:val="both"/>
        <w:rPr>
          <w:rFonts w:ascii="Calibri" w:hAnsi="Calibri" w:cs="Calibri"/>
          <w:bCs/>
          <w:i/>
          <w:iCs/>
          <w:sz w:val="22"/>
          <w:szCs w:val="22"/>
        </w:rPr>
      </w:pPr>
    </w:p>
    <w:p w14:paraId="519590EF" w14:textId="769A2223"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7A0CA7E8" w14:textId="77777777" w:rsidR="00BA4A39" w:rsidRPr="008F0842" w:rsidRDefault="00BA4A39" w:rsidP="00BA4A39">
      <w:pPr>
        <w:jc w:val="both"/>
        <w:rPr>
          <w:rFonts w:ascii="Calibri" w:hAnsi="Calibri" w:cs="Calibri"/>
          <w:sz w:val="22"/>
          <w:szCs w:val="22"/>
          <w:u w:val="single"/>
        </w:rPr>
      </w:pPr>
      <w:r w:rsidRPr="008F0842">
        <w:rPr>
          <w:rFonts w:ascii="Calibri" w:hAnsi="Calibri" w:cs="Calibri"/>
          <w:sz w:val="22"/>
          <w:szCs w:val="22"/>
          <w:u w:val="single"/>
        </w:rPr>
        <w:t>Scope of the Listed Building Consent</w:t>
      </w:r>
      <w:r>
        <w:rPr>
          <w:rFonts w:ascii="Calibri" w:hAnsi="Calibri" w:cs="Calibri"/>
          <w:sz w:val="22"/>
          <w:szCs w:val="22"/>
          <w:u w:val="single"/>
        </w:rPr>
        <w:t xml:space="preserve"> (LBC)</w:t>
      </w:r>
    </w:p>
    <w:p w14:paraId="529277BA" w14:textId="5B85C33F" w:rsidR="00BA4A39" w:rsidRPr="0064516A" w:rsidRDefault="00BA4A39" w:rsidP="00BA4A39">
      <w:pPr>
        <w:jc w:val="both"/>
        <w:rPr>
          <w:rFonts w:ascii="Calibri" w:hAnsi="Calibri" w:cs="Calibri"/>
          <w:sz w:val="22"/>
          <w:szCs w:val="22"/>
        </w:rPr>
      </w:pPr>
      <w:r w:rsidRPr="0064516A">
        <w:rPr>
          <w:rFonts w:ascii="Calibri" w:hAnsi="Calibri" w:cs="Calibri"/>
          <w:sz w:val="22"/>
          <w:szCs w:val="22"/>
        </w:rPr>
        <w:t xml:space="preserve">This </w:t>
      </w:r>
      <w:r>
        <w:rPr>
          <w:rFonts w:ascii="Calibri" w:hAnsi="Calibri" w:cs="Calibri"/>
          <w:sz w:val="22"/>
          <w:szCs w:val="22"/>
        </w:rPr>
        <w:t xml:space="preserve">LBC </w:t>
      </w:r>
      <w:r w:rsidRPr="0064516A">
        <w:rPr>
          <w:rFonts w:ascii="Calibri" w:hAnsi="Calibri" w:cs="Calibri"/>
          <w:sz w:val="22"/>
          <w:szCs w:val="22"/>
        </w:rPr>
        <w:t xml:space="preserve">application relates specifically to works affecting the curtilage of </w:t>
      </w:r>
      <w:r w:rsidR="002B51D4">
        <w:rPr>
          <w:rFonts w:ascii="Calibri" w:hAnsi="Calibri" w:cs="Calibri"/>
          <w:sz w:val="22"/>
          <w:szCs w:val="22"/>
        </w:rPr>
        <w:t xml:space="preserve">The Royal Oak Public House, a Grade II listed building. </w:t>
      </w:r>
      <w:r w:rsidRPr="0064516A">
        <w:rPr>
          <w:rFonts w:ascii="Calibri" w:hAnsi="Calibri" w:cs="Calibri"/>
          <w:sz w:val="22"/>
          <w:szCs w:val="22"/>
        </w:rPr>
        <w:t xml:space="preserve">The works comprise the temporary lifting and reinstatement of the existing </w:t>
      </w:r>
      <w:r>
        <w:rPr>
          <w:rFonts w:ascii="Calibri" w:hAnsi="Calibri" w:cs="Calibri"/>
          <w:sz w:val="22"/>
          <w:szCs w:val="22"/>
        </w:rPr>
        <w:t>stone-flag</w:t>
      </w:r>
      <w:r w:rsidRPr="0064516A">
        <w:rPr>
          <w:rFonts w:ascii="Calibri" w:hAnsi="Calibri" w:cs="Calibri"/>
          <w:sz w:val="22"/>
          <w:szCs w:val="22"/>
        </w:rPr>
        <w:t xml:space="preserve"> coastal footpath, and the attachment of a new flood defence wall</w:t>
      </w:r>
      <w:r w:rsidRPr="000D1230">
        <w:rPr>
          <w:rFonts w:ascii="Calibri" w:hAnsi="Calibri" w:cs="Calibri"/>
          <w:sz w:val="22"/>
          <w:szCs w:val="22"/>
        </w:rPr>
        <w:t>, with glass flood barrier</w:t>
      </w:r>
      <w:r w:rsidRPr="0064516A">
        <w:rPr>
          <w:rFonts w:ascii="Calibri" w:hAnsi="Calibri" w:cs="Calibri"/>
          <w:sz w:val="22"/>
          <w:szCs w:val="22"/>
        </w:rPr>
        <w:t xml:space="preserve"> to the outer edge of th</w:t>
      </w:r>
      <w:r>
        <w:rPr>
          <w:rFonts w:ascii="Calibri" w:hAnsi="Calibri" w:cs="Calibri"/>
          <w:sz w:val="22"/>
          <w:szCs w:val="22"/>
        </w:rPr>
        <w:t>e foot</w:t>
      </w:r>
      <w:r w:rsidRPr="0064516A">
        <w:rPr>
          <w:rFonts w:ascii="Calibri" w:hAnsi="Calibri" w:cs="Calibri"/>
          <w:sz w:val="22"/>
          <w:szCs w:val="22"/>
        </w:rPr>
        <w:t>path.</w:t>
      </w:r>
    </w:p>
    <w:p w14:paraId="5807EB91" w14:textId="7C8AD4C0" w:rsidR="00BA4A39" w:rsidRDefault="00BA4A39" w:rsidP="00BA4A39">
      <w:pPr>
        <w:jc w:val="both"/>
        <w:rPr>
          <w:rFonts w:ascii="Calibri" w:hAnsi="Calibri" w:cs="Calibri"/>
          <w:sz w:val="22"/>
          <w:szCs w:val="22"/>
        </w:rPr>
      </w:pPr>
      <w:r w:rsidRPr="0064516A">
        <w:rPr>
          <w:rFonts w:ascii="Calibri" w:hAnsi="Calibri" w:cs="Calibri"/>
          <w:sz w:val="22"/>
          <w:szCs w:val="22"/>
        </w:rPr>
        <w:t>The application does not propose alterations to the listed building</w:t>
      </w:r>
      <w:r w:rsidR="006E4DE7">
        <w:rPr>
          <w:rFonts w:ascii="Calibri" w:hAnsi="Calibri" w:cs="Calibri"/>
          <w:sz w:val="22"/>
          <w:szCs w:val="22"/>
        </w:rPr>
        <w:t xml:space="preserve"> itself </w:t>
      </w:r>
      <w:r w:rsidRPr="0064516A">
        <w:rPr>
          <w:rFonts w:ascii="Calibri" w:hAnsi="Calibri" w:cs="Calibri"/>
          <w:sz w:val="22"/>
          <w:szCs w:val="22"/>
        </w:rPr>
        <w:t xml:space="preserve">and does not seek consent for wider changes to </w:t>
      </w:r>
      <w:r w:rsidR="006E4DE7">
        <w:rPr>
          <w:rFonts w:ascii="Calibri" w:hAnsi="Calibri" w:cs="Calibri"/>
          <w:sz w:val="22"/>
          <w:szCs w:val="22"/>
        </w:rPr>
        <w:t xml:space="preserve">its </w:t>
      </w:r>
      <w:r w:rsidRPr="0064516A">
        <w:rPr>
          <w:rFonts w:ascii="Calibri" w:hAnsi="Calibri" w:cs="Calibri"/>
          <w:sz w:val="22"/>
          <w:szCs w:val="22"/>
        </w:rPr>
        <w:t xml:space="preserve">setting arising from the flood defence wall and glass barrier, which </w:t>
      </w:r>
      <w:r>
        <w:rPr>
          <w:rFonts w:ascii="Calibri" w:hAnsi="Calibri" w:cs="Calibri"/>
          <w:sz w:val="22"/>
          <w:szCs w:val="22"/>
        </w:rPr>
        <w:t>is</w:t>
      </w:r>
      <w:r w:rsidRPr="0064516A">
        <w:rPr>
          <w:rFonts w:ascii="Calibri" w:hAnsi="Calibri" w:cs="Calibri"/>
          <w:sz w:val="22"/>
          <w:szCs w:val="22"/>
        </w:rPr>
        <w:t xml:space="preserve"> considered separately under the associated planning application</w:t>
      </w:r>
      <w:r w:rsidRPr="000D1230">
        <w:rPr>
          <w:rFonts w:ascii="Calibri" w:hAnsi="Calibri" w:cs="Calibri"/>
          <w:sz w:val="22"/>
          <w:szCs w:val="22"/>
        </w:rPr>
        <w:t xml:space="preserve"> (APP/25/00162)</w:t>
      </w:r>
      <w:r w:rsidRPr="0064516A">
        <w:rPr>
          <w:rFonts w:ascii="Calibri" w:hAnsi="Calibri" w:cs="Calibri"/>
          <w:sz w:val="22"/>
          <w:szCs w:val="22"/>
        </w:rPr>
        <w:t>.</w:t>
      </w:r>
    </w:p>
    <w:p w14:paraId="5079A4B9" w14:textId="77777777" w:rsidR="006307AC" w:rsidRPr="0064516A" w:rsidRDefault="006307AC" w:rsidP="006307AC">
      <w:pPr>
        <w:jc w:val="both"/>
        <w:rPr>
          <w:rFonts w:ascii="Calibri" w:hAnsi="Calibri" w:cs="Calibri"/>
          <w:sz w:val="22"/>
          <w:szCs w:val="22"/>
          <w:u w:val="single"/>
        </w:rPr>
      </w:pPr>
      <w:r w:rsidRPr="00A05251">
        <w:rPr>
          <w:rFonts w:ascii="Calibri" w:hAnsi="Calibri" w:cs="Calibri"/>
          <w:sz w:val="22"/>
          <w:szCs w:val="22"/>
          <w:u w:val="single"/>
        </w:rPr>
        <w:t>Significance of the Listed Buildings (and Curtilage)</w:t>
      </w:r>
    </w:p>
    <w:p w14:paraId="65B13B0D" w14:textId="43102BA2" w:rsidR="006307AC" w:rsidRDefault="006E4DE7" w:rsidP="006307AC">
      <w:pPr>
        <w:jc w:val="both"/>
        <w:rPr>
          <w:rFonts w:ascii="Calibri" w:hAnsi="Calibri" w:cs="Calibri"/>
          <w:sz w:val="22"/>
          <w:szCs w:val="22"/>
        </w:rPr>
      </w:pPr>
      <w:r>
        <w:rPr>
          <w:rFonts w:ascii="Calibri" w:hAnsi="Calibri" w:cs="Calibri"/>
          <w:sz w:val="22"/>
          <w:szCs w:val="22"/>
        </w:rPr>
        <w:t xml:space="preserve">The Royal Oak Public House is a </w:t>
      </w:r>
      <w:r w:rsidR="006307AC" w:rsidRPr="006E224F">
        <w:rPr>
          <w:rFonts w:ascii="Calibri" w:hAnsi="Calibri" w:cs="Calibri"/>
          <w:sz w:val="22"/>
          <w:szCs w:val="22"/>
        </w:rPr>
        <w:t>Grade II listed</w:t>
      </w:r>
      <w:r>
        <w:rPr>
          <w:rFonts w:ascii="Calibri" w:hAnsi="Calibri" w:cs="Calibri"/>
          <w:sz w:val="22"/>
          <w:szCs w:val="22"/>
        </w:rPr>
        <w:t xml:space="preserve"> building, </w:t>
      </w:r>
      <w:r w:rsidR="006307AC" w:rsidRPr="006E224F">
        <w:rPr>
          <w:rFonts w:ascii="Calibri" w:hAnsi="Calibri" w:cs="Calibri"/>
          <w:sz w:val="22"/>
          <w:szCs w:val="22"/>
        </w:rPr>
        <w:t xml:space="preserve">whose significance derives from </w:t>
      </w:r>
      <w:r>
        <w:rPr>
          <w:rFonts w:ascii="Calibri" w:hAnsi="Calibri" w:cs="Calibri"/>
          <w:sz w:val="22"/>
          <w:szCs w:val="22"/>
        </w:rPr>
        <w:t xml:space="preserve">its </w:t>
      </w:r>
      <w:r w:rsidR="006307AC" w:rsidRPr="006E224F">
        <w:rPr>
          <w:rFonts w:ascii="Calibri" w:hAnsi="Calibri" w:cs="Calibri"/>
          <w:sz w:val="22"/>
          <w:szCs w:val="22"/>
        </w:rPr>
        <w:t>historic fabric, architectural interest, and relationship with the historic harbour frontage. The building</w:t>
      </w:r>
      <w:r>
        <w:rPr>
          <w:rFonts w:ascii="Calibri" w:hAnsi="Calibri" w:cs="Calibri"/>
          <w:sz w:val="22"/>
          <w:szCs w:val="22"/>
        </w:rPr>
        <w:t xml:space="preserve"> </w:t>
      </w:r>
      <w:r w:rsidR="006307AC" w:rsidRPr="006E224F">
        <w:rPr>
          <w:rFonts w:ascii="Calibri" w:hAnsi="Calibri" w:cs="Calibri"/>
          <w:sz w:val="22"/>
          <w:szCs w:val="22"/>
        </w:rPr>
        <w:t>directly front</w:t>
      </w:r>
      <w:r>
        <w:rPr>
          <w:rFonts w:ascii="Calibri" w:hAnsi="Calibri" w:cs="Calibri"/>
          <w:sz w:val="22"/>
          <w:szCs w:val="22"/>
        </w:rPr>
        <w:t>s</w:t>
      </w:r>
      <w:r w:rsidR="006307AC" w:rsidRPr="006E224F">
        <w:rPr>
          <w:rFonts w:ascii="Calibri" w:hAnsi="Calibri" w:cs="Calibri"/>
          <w:sz w:val="22"/>
          <w:szCs w:val="22"/>
        </w:rPr>
        <w:t xml:space="preserve"> onto the coastal footpath, which forms part of </w:t>
      </w:r>
      <w:r>
        <w:rPr>
          <w:rFonts w:ascii="Calibri" w:hAnsi="Calibri" w:cs="Calibri"/>
          <w:sz w:val="22"/>
          <w:szCs w:val="22"/>
        </w:rPr>
        <w:t>its</w:t>
      </w:r>
      <w:r w:rsidR="006307AC" w:rsidRPr="006E224F">
        <w:rPr>
          <w:rFonts w:ascii="Calibri" w:hAnsi="Calibri" w:cs="Calibri"/>
          <w:sz w:val="22"/>
          <w:szCs w:val="22"/>
        </w:rPr>
        <w:t xml:space="preserve"> historic curtilage and contributes to </w:t>
      </w:r>
      <w:r>
        <w:rPr>
          <w:rFonts w:ascii="Calibri" w:hAnsi="Calibri" w:cs="Calibri"/>
          <w:sz w:val="22"/>
          <w:szCs w:val="22"/>
        </w:rPr>
        <w:t>its</w:t>
      </w:r>
      <w:r w:rsidR="006307AC" w:rsidRPr="006E224F">
        <w:rPr>
          <w:rFonts w:ascii="Calibri" w:hAnsi="Calibri" w:cs="Calibri"/>
          <w:sz w:val="22"/>
          <w:szCs w:val="22"/>
        </w:rPr>
        <w:t xml:space="preserve"> significance</w:t>
      </w:r>
      <w:r w:rsidR="006307AC">
        <w:rPr>
          <w:rFonts w:ascii="Calibri" w:hAnsi="Calibri" w:cs="Calibri"/>
          <w:sz w:val="22"/>
          <w:szCs w:val="22"/>
        </w:rPr>
        <w:t>,</w:t>
      </w:r>
      <w:r w:rsidR="006307AC" w:rsidRPr="006E224F">
        <w:rPr>
          <w:rFonts w:ascii="Calibri" w:hAnsi="Calibri" w:cs="Calibri"/>
          <w:sz w:val="22"/>
          <w:szCs w:val="22"/>
        </w:rPr>
        <w:t xml:space="preserve"> by reflecting the long</w:t>
      </w:r>
      <w:r w:rsidR="006307AC" w:rsidRPr="006E224F">
        <w:rPr>
          <w:rFonts w:ascii="Calibri" w:hAnsi="Calibri" w:cs="Calibri"/>
          <w:sz w:val="22"/>
          <w:szCs w:val="22"/>
        </w:rPr>
        <w:noBreakHyphen/>
        <w:t xml:space="preserve">standing relationship between the </w:t>
      </w:r>
      <w:r>
        <w:rPr>
          <w:rFonts w:ascii="Calibri" w:hAnsi="Calibri" w:cs="Calibri"/>
          <w:sz w:val="22"/>
          <w:szCs w:val="22"/>
        </w:rPr>
        <w:t>building</w:t>
      </w:r>
      <w:r w:rsidR="006307AC" w:rsidRPr="006E224F">
        <w:rPr>
          <w:rFonts w:ascii="Calibri" w:hAnsi="Calibri" w:cs="Calibri"/>
          <w:sz w:val="22"/>
          <w:szCs w:val="22"/>
        </w:rPr>
        <w:t xml:space="preserve"> and the </w:t>
      </w:r>
      <w:r w:rsidR="006307AC">
        <w:rPr>
          <w:rFonts w:ascii="Calibri" w:hAnsi="Calibri" w:cs="Calibri"/>
          <w:sz w:val="22"/>
          <w:szCs w:val="22"/>
        </w:rPr>
        <w:t xml:space="preserve">coastal footpath. </w:t>
      </w:r>
    </w:p>
    <w:p w14:paraId="5B334680" w14:textId="43AE0DFF" w:rsidR="006307AC" w:rsidRPr="009B18A6" w:rsidRDefault="006307AC" w:rsidP="006307AC">
      <w:pPr>
        <w:jc w:val="both"/>
        <w:rPr>
          <w:rFonts w:ascii="Calibri" w:hAnsi="Calibri" w:cs="Calibri"/>
          <w:sz w:val="22"/>
          <w:szCs w:val="22"/>
        </w:rPr>
      </w:pPr>
      <w:r w:rsidRPr="009B18A6">
        <w:rPr>
          <w:rFonts w:ascii="Calibri" w:hAnsi="Calibri" w:cs="Calibri"/>
          <w:sz w:val="22"/>
          <w:szCs w:val="22"/>
        </w:rPr>
        <w:t xml:space="preserve">The </w:t>
      </w:r>
      <w:r>
        <w:rPr>
          <w:rFonts w:ascii="Calibri" w:hAnsi="Calibri" w:cs="Calibri"/>
          <w:sz w:val="22"/>
          <w:szCs w:val="22"/>
        </w:rPr>
        <w:t>stone-flag</w:t>
      </w:r>
      <w:r w:rsidRPr="009B18A6">
        <w:rPr>
          <w:rFonts w:ascii="Calibri" w:hAnsi="Calibri" w:cs="Calibri"/>
          <w:sz w:val="22"/>
          <w:szCs w:val="22"/>
        </w:rPr>
        <w:t xml:space="preserve"> paving along this frontage helps illustrate the historic relationship between the listed building and the harbour edge and therefore contributes </w:t>
      </w:r>
      <w:r w:rsidR="00DB11CE" w:rsidRPr="009B18A6">
        <w:rPr>
          <w:rFonts w:ascii="Calibri" w:hAnsi="Calibri" w:cs="Calibri"/>
          <w:sz w:val="22"/>
          <w:szCs w:val="22"/>
        </w:rPr>
        <w:t>to overall</w:t>
      </w:r>
      <w:r w:rsidRPr="009B18A6">
        <w:rPr>
          <w:rFonts w:ascii="Calibri" w:hAnsi="Calibri" w:cs="Calibri"/>
          <w:sz w:val="22"/>
          <w:szCs w:val="22"/>
        </w:rPr>
        <w:t xml:space="preserve"> significance.</w:t>
      </w:r>
    </w:p>
    <w:p w14:paraId="5924821A" w14:textId="77777777" w:rsidR="006307AC" w:rsidRPr="000A3ED3" w:rsidRDefault="006307AC" w:rsidP="006307AC">
      <w:pPr>
        <w:jc w:val="both"/>
        <w:rPr>
          <w:rFonts w:ascii="Calibri" w:hAnsi="Calibri" w:cs="Calibri"/>
          <w:sz w:val="22"/>
          <w:szCs w:val="22"/>
          <w:u w:val="single"/>
        </w:rPr>
      </w:pPr>
      <w:r w:rsidRPr="000A3ED3">
        <w:rPr>
          <w:rFonts w:ascii="Calibri" w:hAnsi="Calibri" w:cs="Calibri"/>
          <w:sz w:val="22"/>
          <w:szCs w:val="22"/>
          <w:u w:val="single"/>
        </w:rPr>
        <w:t>Description of the Proposed Works</w:t>
      </w:r>
    </w:p>
    <w:p w14:paraId="68A004F9" w14:textId="66350FCE" w:rsidR="006307AC" w:rsidRPr="000A3ED3" w:rsidRDefault="006307AC" w:rsidP="006307AC">
      <w:pPr>
        <w:jc w:val="both"/>
        <w:rPr>
          <w:rFonts w:ascii="Calibri" w:hAnsi="Calibri" w:cs="Calibri"/>
          <w:sz w:val="22"/>
          <w:szCs w:val="22"/>
        </w:rPr>
      </w:pPr>
      <w:r w:rsidRPr="000A3ED3">
        <w:rPr>
          <w:rFonts w:ascii="Calibri" w:hAnsi="Calibri" w:cs="Calibri"/>
          <w:sz w:val="22"/>
          <w:szCs w:val="22"/>
        </w:rPr>
        <w:t>The proposals involve the construction of a new reinforced footpath seaward of the existing footpath, together with a new stone</w:t>
      </w:r>
      <w:r w:rsidRPr="000A3ED3">
        <w:rPr>
          <w:rFonts w:ascii="Calibri" w:hAnsi="Calibri" w:cs="Calibri"/>
          <w:sz w:val="22"/>
          <w:szCs w:val="22"/>
        </w:rPr>
        <w:noBreakHyphen/>
        <w:t>clad flood defence wall with a flood</w:t>
      </w:r>
      <w:r w:rsidRPr="000A3ED3">
        <w:rPr>
          <w:rFonts w:ascii="Calibri" w:hAnsi="Calibri" w:cs="Calibri"/>
          <w:sz w:val="22"/>
          <w:szCs w:val="22"/>
        </w:rPr>
        <w:noBreakHyphen/>
        <w:t xml:space="preserve">glass barrier above. </w:t>
      </w:r>
      <w:proofErr w:type="gramStart"/>
      <w:r w:rsidRPr="000A3ED3">
        <w:rPr>
          <w:rFonts w:ascii="Calibri" w:hAnsi="Calibri" w:cs="Calibri"/>
          <w:sz w:val="22"/>
          <w:szCs w:val="22"/>
        </w:rPr>
        <w:t>In order to</w:t>
      </w:r>
      <w:proofErr w:type="gramEnd"/>
      <w:r w:rsidRPr="000A3ED3">
        <w:rPr>
          <w:rFonts w:ascii="Calibri" w:hAnsi="Calibri" w:cs="Calibri"/>
          <w:sz w:val="22"/>
          <w:szCs w:val="22"/>
        </w:rPr>
        <w:t xml:space="preserve"> facilitate these works, the existing stone</w:t>
      </w:r>
      <w:r w:rsidRPr="000A3ED3">
        <w:rPr>
          <w:rFonts w:ascii="Calibri" w:hAnsi="Calibri" w:cs="Calibri"/>
          <w:sz w:val="22"/>
          <w:szCs w:val="22"/>
        </w:rPr>
        <w:noBreakHyphen/>
        <w:t xml:space="preserve">flag footpath directly in front of </w:t>
      </w:r>
      <w:r w:rsidR="00B102B2">
        <w:rPr>
          <w:rFonts w:ascii="Calibri" w:hAnsi="Calibri" w:cs="Calibri"/>
          <w:sz w:val="22"/>
          <w:szCs w:val="22"/>
        </w:rPr>
        <w:t xml:space="preserve">The Royal Oak (along with </w:t>
      </w:r>
      <w:r w:rsidRPr="000A3ED3">
        <w:rPr>
          <w:rFonts w:ascii="Calibri" w:hAnsi="Calibri" w:cs="Calibri"/>
          <w:sz w:val="22"/>
          <w:szCs w:val="22"/>
        </w:rPr>
        <w:t>Nos. 16–18 Langstone High Street</w:t>
      </w:r>
      <w:r w:rsidR="00B102B2">
        <w:rPr>
          <w:rFonts w:ascii="Calibri" w:hAnsi="Calibri" w:cs="Calibri"/>
          <w:sz w:val="22"/>
          <w:szCs w:val="22"/>
        </w:rPr>
        <w:t xml:space="preserve"> which is being considered under APP/25/00179)</w:t>
      </w:r>
      <w:r w:rsidRPr="000A3ED3">
        <w:rPr>
          <w:rFonts w:ascii="Calibri" w:hAnsi="Calibri" w:cs="Calibri"/>
          <w:sz w:val="22"/>
          <w:szCs w:val="22"/>
        </w:rPr>
        <w:t xml:space="preserve"> would be temporarily lifted, retained, and reinstated in its original position following completion of the wall construction.</w:t>
      </w:r>
    </w:p>
    <w:p w14:paraId="5DEBA304" w14:textId="10F27079" w:rsidR="006307AC" w:rsidRPr="000A3ED3" w:rsidRDefault="006307AC" w:rsidP="006307AC">
      <w:pPr>
        <w:jc w:val="both"/>
        <w:rPr>
          <w:rFonts w:ascii="Calibri" w:hAnsi="Calibri" w:cs="Calibri"/>
          <w:sz w:val="22"/>
          <w:szCs w:val="22"/>
        </w:rPr>
      </w:pPr>
      <w:r w:rsidRPr="000A3ED3">
        <w:rPr>
          <w:rFonts w:ascii="Calibri" w:hAnsi="Calibri" w:cs="Calibri"/>
          <w:sz w:val="22"/>
          <w:szCs w:val="22"/>
        </w:rPr>
        <w:t>The new flood defence wall would be attached to the outer edge of the footpath, with no direct physical works proposed to the façades or structural fabric of the listed building</w:t>
      </w:r>
      <w:r w:rsidR="00B102B2">
        <w:rPr>
          <w:rFonts w:ascii="Calibri" w:hAnsi="Calibri" w:cs="Calibri"/>
          <w:sz w:val="22"/>
          <w:szCs w:val="22"/>
        </w:rPr>
        <w:t xml:space="preserve"> itself. </w:t>
      </w:r>
    </w:p>
    <w:p w14:paraId="64FCF9A2" w14:textId="77777777" w:rsidR="00DB11CE" w:rsidRDefault="00DB11CE" w:rsidP="002B51D4">
      <w:pPr>
        <w:jc w:val="both"/>
        <w:rPr>
          <w:rFonts w:ascii="Calibri" w:hAnsi="Calibri" w:cs="Calibri"/>
          <w:sz w:val="22"/>
          <w:szCs w:val="22"/>
          <w:u w:val="single"/>
        </w:rPr>
      </w:pPr>
    </w:p>
    <w:p w14:paraId="5084F136" w14:textId="77777777" w:rsidR="00DB11CE" w:rsidRDefault="00DB11CE" w:rsidP="002B51D4">
      <w:pPr>
        <w:jc w:val="both"/>
        <w:rPr>
          <w:rFonts w:ascii="Calibri" w:hAnsi="Calibri" w:cs="Calibri"/>
          <w:sz w:val="22"/>
          <w:szCs w:val="22"/>
          <w:u w:val="single"/>
        </w:rPr>
      </w:pPr>
    </w:p>
    <w:p w14:paraId="3DED3C39" w14:textId="77777777" w:rsidR="00DB11CE" w:rsidRDefault="00DB11CE" w:rsidP="002B51D4">
      <w:pPr>
        <w:jc w:val="both"/>
        <w:rPr>
          <w:rFonts w:ascii="Calibri" w:hAnsi="Calibri" w:cs="Calibri"/>
          <w:sz w:val="22"/>
          <w:szCs w:val="22"/>
          <w:u w:val="single"/>
        </w:rPr>
      </w:pPr>
    </w:p>
    <w:p w14:paraId="76C45F4E" w14:textId="1726934A" w:rsidR="002B51D4" w:rsidRDefault="002B51D4" w:rsidP="002B51D4">
      <w:pPr>
        <w:jc w:val="both"/>
        <w:rPr>
          <w:rFonts w:ascii="Calibri" w:hAnsi="Calibri" w:cs="Calibri"/>
          <w:sz w:val="22"/>
          <w:szCs w:val="22"/>
          <w:u w:val="single"/>
        </w:rPr>
      </w:pPr>
      <w:r w:rsidRPr="00F53E75">
        <w:rPr>
          <w:rFonts w:ascii="Calibri" w:hAnsi="Calibri" w:cs="Calibri"/>
          <w:sz w:val="22"/>
          <w:szCs w:val="22"/>
          <w:u w:val="single"/>
        </w:rPr>
        <w:lastRenderedPageBreak/>
        <w:t xml:space="preserve">Assessment of Impact on </w:t>
      </w:r>
      <w:r w:rsidR="001B119E">
        <w:rPr>
          <w:rFonts w:ascii="Calibri" w:hAnsi="Calibri" w:cs="Calibri"/>
          <w:sz w:val="22"/>
          <w:szCs w:val="22"/>
          <w:u w:val="single"/>
        </w:rPr>
        <w:t>The Royal Oak PH</w:t>
      </w:r>
    </w:p>
    <w:p w14:paraId="6D309B6E" w14:textId="77777777" w:rsidR="009B6F58" w:rsidRPr="009B6F58" w:rsidRDefault="009B6F58" w:rsidP="009B6F58">
      <w:pPr>
        <w:jc w:val="both"/>
        <w:rPr>
          <w:rFonts w:ascii="Calibri" w:hAnsi="Calibri" w:cs="Calibri"/>
          <w:sz w:val="22"/>
          <w:szCs w:val="22"/>
        </w:rPr>
      </w:pPr>
      <w:r w:rsidRPr="009B6F58">
        <w:rPr>
          <w:rFonts w:ascii="Calibri" w:hAnsi="Calibri" w:cs="Calibri"/>
          <w:sz w:val="22"/>
          <w:szCs w:val="22"/>
        </w:rPr>
        <w:t>The principal consideration for this Listed Building Consent application is whether the temporary lifting and reinstatement of the existing stone</w:t>
      </w:r>
      <w:r w:rsidRPr="009B6F58">
        <w:rPr>
          <w:rFonts w:ascii="Calibri" w:hAnsi="Calibri" w:cs="Calibri"/>
          <w:sz w:val="22"/>
          <w:szCs w:val="22"/>
        </w:rPr>
        <w:noBreakHyphen/>
        <w:t>flag footpath, together with the attachment of the new flood defence wall to its outer edge, would affect the fabric or significance of the listed building.</w:t>
      </w:r>
    </w:p>
    <w:p w14:paraId="7CC7B043" w14:textId="77777777" w:rsidR="009B6F58" w:rsidRPr="009B6F58" w:rsidRDefault="009B6F58" w:rsidP="009B6F58">
      <w:pPr>
        <w:jc w:val="both"/>
        <w:rPr>
          <w:rFonts w:ascii="Calibri" w:hAnsi="Calibri" w:cs="Calibri"/>
          <w:sz w:val="22"/>
          <w:szCs w:val="22"/>
        </w:rPr>
      </w:pPr>
      <w:r w:rsidRPr="009B6F58">
        <w:rPr>
          <w:rFonts w:ascii="Calibri" w:hAnsi="Calibri" w:cs="Calibri"/>
          <w:sz w:val="22"/>
          <w:szCs w:val="22"/>
        </w:rPr>
        <w:t>The footpath would be:</w:t>
      </w:r>
    </w:p>
    <w:p w14:paraId="13C1EA5C" w14:textId="06BC0915" w:rsidR="009B6F58" w:rsidRPr="009B6F58" w:rsidRDefault="009B6F58" w:rsidP="009B6F58">
      <w:pPr>
        <w:numPr>
          <w:ilvl w:val="0"/>
          <w:numId w:val="23"/>
        </w:numPr>
        <w:jc w:val="both"/>
        <w:rPr>
          <w:rFonts w:ascii="Calibri" w:hAnsi="Calibri" w:cs="Calibri"/>
          <w:sz w:val="22"/>
          <w:szCs w:val="22"/>
        </w:rPr>
      </w:pPr>
      <w:r w:rsidRPr="009B6F58">
        <w:rPr>
          <w:rFonts w:ascii="Calibri" w:hAnsi="Calibri" w:cs="Calibri"/>
          <w:sz w:val="22"/>
          <w:szCs w:val="22"/>
        </w:rPr>
        <w:t>retained in situ</w:t>
      </w:r>
      <w:r w:rsidR="002B4900">
        <w:rPr>
          <w:rFonts w:ascii="Calibri" w:hAnsi="Calibri" w:cs="Calibri"/>
          <w:sz w:val="22"/>
          <w:szCs w:val="22"/>
        </w:rPr>
        <w:t xml:space="preserve"> as part of the development</w:t>
      </w:r>
      <w:r w:rsidRPr="009B6F58">
        <w:rPr>
          <w:rFonts w:ascii="Calibri" w:hAnsi="Calibri" w:cs="Calibri"/>
          <w:sz w:val="22"/>
          <w:szCs w:val="22"/>
        </w:rPr>
        <w:t>;</w:t>
      </w:r>
    </w:p>
    <w:p w14:paraId="1148942E" w14:textId="77777777" w:rsidR="009B6F58" w:rsidRPr="009B6F58" w:rsidRDefault="009B6F58" w:rsidP="009B6F58">
      <w:pPr>
        <w:numPr>
          <w:ilvl w:val="0"/>
          <w:numId w:val="23"/>
        </w:numPr>
        <w:jc w:val="both"/>
        <w:rPr>
          <w:rFonts w:ascii="Calibri" w:hAnsi="Calibri" w:cs="Calibri"/>
          <w:sz w:val="22"/>
          <w:szCs w:val="22"/>
        </w:rPr>
      </w:pPr>
      <w:r w:rsidRPr="009B6F58">
        <w:rPr>
          <w:rFonts w:ascii="Calibri" w:hAnsi="Calibri" w:cs="Calibri"/>
          <w:sz w:val="22"/>
          <w:szCs w:val="22"/>
        </w:rPr>
        <w:t>reinstated following construction;</w:t>
      </w:r>
    </w:p>
    <w:p w14:paraId="28696A80" w14:textId="77777777" w:rsidR="009B6F58" w:rsidRPr="009B6F58" w:rsidRDefault="009B6F58" w:rsidP="009B6F58">
      <w:pPr>
        <w:numPr>
          <w:ilvl w:val="0"/>
          <w:numId w:val="23"/>
        </w:numPr>
        <w:jc w:val="both"/>
        <w:rPr>
          <w:rFonts w:ascii="Calibri" w:hAnsi="Calibri" w:cs="Calibri"/>
          <w:sz w:val="22"/>
          <w:szCs w:val="22"/>
        </w:rPr>
      </w:pPr>
      <w:r w:rsidRPr="009B6F58">
        <w:rPr>
          <w:rFonts w:ascii="Calibri" w:hAnsi="Calibri" w:cs="Calibri"/>
          <w:sz w:val="22"/>
          <w:szCs w:val="22"/>
        </w:rPr>
        <w:t>returned to its existing alignment, width and level; and</w:t>
      </w:r>
    </w:p>
    <w:p w14:paraId="6F277668" w14:textId="546875EA" w:rsidR="009B6F58" w:rsidRPr="009B6F58" w:rsidRDefault="009B6F58" w:rsidP="009B6F58">
      <w:pPr>
        <w:numPr>
          <w:ilvl w:val="0"/>
          <w:numId w:val="23"/>
        </w:numPr>
        <w:jc w:val="both"/>
        <w:rPr>
          <w:rFonts w:ascii="Calibri" w:hAnsi="Calibri" w:cs="Calibri"/>
          <w:sz w:val="22"/>
          <w:szCs w:val="22"/>
        </w:rPr>
      </w:pPr>
      <w:r w:rsidRPr="009B6F58">
        <w:rPr>
          <w:rFonts w:ascii="Calibri" w:hAnsi="Calibri" w:cs="Calibri"/>
          <w:sz w:val="22"/>
          <w:szCs w:val="22"/>
        </w:rPr>
        <w:t>constructed using the existing stone</w:t>
      </w:r>
      <w:r w:rsidRPr="009B6F58">
        <w:rPr>
          <w:rFonts w:ascii="Calibri" w:hAnsi="Calibri" w:cs="Calibri"/>
          <w:sz w:val="22"/>
          <w:szCs w:val="22"/>
        </w:rPr>
        <w:noBreakHyphen/>
        <w:t xml:space="preserve">flag paving, subject to </w:t>
      </w:r>
      <w:proofErr w:type="gramStart"/>
      <w:r w:rsidRPr="009B6F58">
        <w:rPr>
          <w:rFonts w:ascii="Calibri" w:hAnsi="Calibri" w:cs="Calibri"/>
          <w:sz w:val="22"/>
          <w:szCs w:val="22"/>
        </w:rPr>
        <w:t>appropriate</w:t>
      </w:r>
      <w:r w:rsidR="007D2638">
        <w:rPr>
          <w:rFonts w:ascii="Calibri" w:hAnsi="Calibri" w:cs="Calibri"/>
          <w:sz w:val="22"/>
          <w:szCs w:val="22"/>
        </w:rPr>
        <w:t>ly</w:t>
      </w:r>
      <w:r w:rsidRPr="009B6F58">
        <w:rPr>
          <w:rFonts w:ascii="Calibri" w:hAnsi="Calibri" w:cs="Calibri"/>
          <w:sz w:val="22"/>
          <w:szCs w:val="22"/>
        </w:rPr>
        <w:t xml:space="preserve"> </w:t>
      </w:r>
      <w:r w:rsidR="0000763C">
        <w:rPr>
          <w:rFonts w:ascii="Calibri" w:hAnsi="Calibri" w:cs="Calibri"/>
          <w:sz w:val="22"/>
          <w:szCs w:val="22"/>
        </w:rPr>
        <w:t xml:space="preserve"> </w:t>
      </w:r>
      <w:r w:rsidRPr="009B6F58">
        <w:rPr>
          <w:rFonts w:ascii="Calibri" w:hAnsi="Calibri" w:cs="Calibri"/>
          <w:sz w:val="22"/>
          <w:szCs w:val="22"/>
        </w:rPr>
        <w:t>controlled</w:t>
      </w:r>
      <w:proofErr w:type="gramEnd"/>
      <w:r w:rsidRPr="009B6F58">
        <w:rPr>
          <w:rFonts w:ascii="Calibri" w:hAnsi="Calibri" w:cs="Calibri"/>
          <w:sz w:val="22"/>
          <w:szCs w:val="22"/>
        </w:rPr>
        <w:t xml:space="preserve"> handling and workmanship.</w:t>
      </w:r>
    </w:p>
    <w:p w14:paraId="57F65FAD" w14:textId="77777777" w:rsidR="009B6F58" w:rsidRPr="009B6F58" w:rsidRDefault="009B6F58" w:rsidP="009B6F58">
      <w:pPr>
        <w:jc w:val="both"/>
        <w:rPr>
          <w:rFonts w:ascii="Calibri" w:hAnsi="Calibri" w:cs="Calibri"/>
          <w:sz w:val="22"/>
          <w:szCs w:val="22"/>
        </w:rPr>
      </w:pPr>
      <w:r w:rsidRPr="009B6F58">
        <w:rPr>
          <w:rFonts w:ascii="Calibri" w:hAnsi="Calibri" w:cs="Calibri"/>
          <w:sz w:val="22"/>
          <w:szCs w:val="22"/>
        </w:rPr>
        <w:t>Provided that the existing stone</w:t>
      </w:r>
      <w:r w:rsidRPr="009B6F58">
        <w:rPr>
          <w:rFonts w:ascii="Calibri" w:hAnsi="Calibri" w:cs="Calibri"/>
          <w:sz w:val="22"/>
          <w:szCs w:val="22"/>
        </w:rPr>
        <w:noBreakHyphen/>
        <w:t>flag paving is carefully lifted, stored and reinstated without unnecessary replacement or cutting, the works would not result in the permanent loss of historic fabric, nor would they alter the physical relationship between the listed building and the footpath.</w:t>
      </w:r>
    </w:p>
    <w:p w14:paraId="21C15F45" w14:textId="77777777" w:rsidR="009B6F58" w:rsidRPr="009B6F58" w:rsidRDefault="009B6F58" w:rsidP="009B6F58">
      <w:pPr>
        <w:jc w:val="both"/>
        <w:rPr>
          <w:rFonts w:ascii="Calibri" w:hAnsi="Calibri" w:cs="Calibri"/>
          <w:sz w:val="22"/>
          <w:szCs w:val="22"/>
        </w:rPr>
      </w:pPr>
      <w:r w:rsidRPr="009B6F58">
        <w:rPr>
          <w:rFonts w:ascii="Calibri" w:hAnsi="Calibri" w:cs="Calibri"/>
          <w:sz w:val="22"/>
          <w:szCs w:val="22"/>
        </w:rPr>
        <w:t>The attachment of the flood defence wall to the outer edge of the footpath would not require any intervention into the façades or foundations of the listed building, and the wall would remain structurally independent of the historic building itself. However, the introduction of a new wall along the seaward side of the path would result in a more defined and enclosed edge to this part of the harbour</w:t>
      </w:r>
      <w:r w:rsidRPr="009B6F58">
        <w:rPr>
          <w:rFonts w:ascii="Calibri" w:hAnsi="Calibri" w:cs="Calibri"/>
          <w:sz w:val="22"/>
          <w:szCs w:val="22"/>
        </w:rPr>
        <w:noBreakHyphen/>
        <w:t>side curtilage, changing the currently open and informal character of the space. This would alter the experience of approaching and passing the Royal Oak and the entrance to its pub garden in relation to the harbour edge.</w:t>
      </w:r>
    </w:p>
    <w:p w14:paraId="1B240DCB" w14:textId="2D659FCC" w:rsidR="00A2531E" w:rsidRPr="003702EE" w:rsidRDefault="003702EE" w:rsidP="00B12D34">
      <w:pPr>
        <w:jc w:val="both"/>
        <w:rPr>
          <w:rFonts w:ascii="Calibri" w:hAnsi="Calibri" w:cs="Calibri"/>
          <w:sz w:val="22"/>
          <w:szCs w:val="22"/>
          <w:u w:val="single"/>
        </w:rPr>
      </w:pPr>
      <w:r w:rsidRPr="003702EE">
        <w:rPr>
          <w:rFonts w:ascii="Calibri" w:hAnsi="Calibri" w:cs="Calibri"/>
          <w:sz w:val="22"/>
          <w:szCs w:val="22"/>
          <w:u w:val="single"/>
        </w:rPr>
        <w:t xml:space="preserve">Level of Harm </w:t>
      </w:r>
    </w:p>
    <w:p w14:paraId="13CC1A63" w14:textId="77777777" w:rsidR="003702EE" w:rsidRPr="003702EE" w:rsidRDefault="003702EE" w:rsidP="003702EE">
      <w:pPr>
        <w:jc w:val="both"/>
        <w:rPr>
          <w:rFonts w:ascii="Calibri" w:hAnsi="Calibri" w:cs="Calibri"/>
          <w:sz w:val="22"/>
          <w:szCs w:val="22"/>
        </w:rPr>
      </w:pPr>
      <w:r w:rsidRPr="003702EE">
        <w:rPr>
          <w:rFonts w:ascii="Calibri" w:hAnsi="Calibri" w:cs="Calibri"/>
          <w:sz w:val="22"/>
          <w:szCs w:val="22"/>
        </w:rPr>
        <w:t>It is considered that the proposals would result in a low level of less than substantial harm to the significance of the Royal Oak. While the physical works to the stone</w:t>
      </w:r>
      <w:r w:rsidRPr="003702EE">
        <w:rPr>
          <w:rFonts w:ascii="Calibri" w:hAnsi="Calibri" w:cs="Calibri"/>
          <w:sz w:val="22"/>
          <w:szCs w:val="22"/>
        </w:rPr>
        <w:noBreakHyphen/>
        <w:t>flag footpath are limited and would be reversible, the attachment of the new flood defence wall along the outer edge of the harbour</w:t>
      </w:r>
      <w:r w:rsidRPr="003702EE">
        <w:rPr>
          <w:rFonts w:ascii="Calibri" w:hAnsi="Calibri" w:cs="Calibri"/>
          <w:sz w:val="22"/>
          <w:szCs w:val="22"/>
        </w:rPr>
        <w:noBreakHyphen/>
        <w:t>side path would result in a permanent change to the character of this part of the curtilage.</w:t>
      </w:r>
    </w:p>
    <w:p w14:paraId="181D0DE0" w14:textId="77777777" w:rsidR="003702EE" w:rsidRPr="003702EE" w:rsidRDefault="003702EE" w:rsidP="003702EE">
      <w:pPr>
        <w:jc w:val="both"/>
        <w:rPr>
          <w:rFonts w:ascii="Calibri" w:hAnsi="Calibri" w:cs="Calibri"/>
          <w:sz w:val="22"/>
          <w:szCs w:val="22"/>
        </w:rPr>
      </w:pPr>
      <w:r w:rsidRPr="003702EE">
        <w:rPr>
          <w:rFonts w:ascii="Calibri" w:hAnsi="Calibri" w:cs="Calibri"/>
          <w:sz w:val="22"/>
          <w:szCs w:val="22"/>
        </w:rPr>
        <w:t>The Royal Oak derives part of its significance not only from its architectural interest, but also from its long</w:t>
      </w:r>
      <w:r w:rsidRPr="003702EE">
        <w:rPr>
          <w:rFonts w:ascii="Calibri" w:hAnsi="Calibri" w:cs="Calibri"/>
          <w:sz w:val="22"/>
          <w:szCs w:val="22"/>
        </w:rPr>
        <w:noBreakHyphen/>
        <w:t>standing social function and informal relationship with the harbour edge. The existing open and unenclosed edge to the path contributes to the building’s historic use as a waterfront public house, where informal sitting, gathering and interaction with the harbour form part of the significance and appreciation of the place.</w:t>
      </w:r>
    </w:p>
    <w:p w14:paraId="2DAA0FE9" w14:textId="77777777" w:rsidR="003702EE" w:rsidRPr="003702EE" w:rsidRDefault="003702EE" w:rsidP="003702EE">
      <w:pPr>
        <w:jc w:val="both"/>
        <w:rPr>
          <w:rFonts w:ascii="Calibri" w:hAnsi="Calibri" w:cs="Calibri"/>
          <w:sz w:val="22"/>
          <w:szCs w:val="22"/>
        </w:rPr>
      </w:pPr>
      <w:r w:rsidRPr="003702EE">
        <w:rPr>
          <w:rFonts w:ascii="Calibri" w:hAnsi="Calibri" w:cs="Calibri"/>
          <w:sz w:val="22"/>
          <w:szCs w:val="22"/>
        </w:rPr>
        <w:t>The introduction of a continuous flood defence wall would formalise and enclose this previously open edge, altering the look, feel and use of the space and reducing the informal, ad</w:t>
      </w:r>
      <w:r w:rsidRPr="003702EE">
        <w:rPr>
          <w:rFonts w:ascii="Calibri" w:hAnsi="Calibri" w:cs="Calibri"/>
          <w:sz w:val="22"/>
          <w:szCs w:val="22"/>
        </w:rPr>
        <w:noBreakHyphen/>
        <w:t>hoc social activity that currently takes place along the quay</w:t>
      </w:r>
      <w:r w:rsidRPr="003702EE">
        <w:rPr>
          <w:rFonts w:ascii="Calibri" w:hAnsi="Calibri" w:cs="Calibri"/>
          <w:sz w:val="22"/>
          <w:szCs w:val="22"/>
        </w:rPr>
        <w:noBreakHyphen/>
        <w:t>side. This represents a greater degree of harm than that arising at Nos. 16, 17 and 18 Langstone High Street, where the footpath plays a more functional role, but nevertheless remains less than substantial in heritage terms.</w:t>
      </w:r>
    </w:p>
    <w:p w14:paraId="703126B2" w14:textId="77777777" w:rsidR="003702EE" w:rsidRPr="003702EE" w:rsidRDefault="003702EE" w:rsidP="003702EE">
      <w:pPr>
        <w:jc w:val="both"/>
        <w:rPr>
          <w:rFonts w:ascii="Calibri" w:hAnsi="Calibri" w:cs="Calibri"/>
          <w:sz w:val="22"/>
          <w:szCs w:val="22"/>
        </w:rPr>
      </w:pPr>
      <w:r w:rsidRPr="003702EE">
        <w:rPr>
          <w:rFonts w:ascii="Calibri" w:hAnsi="Calibri" w:cs="Calibri"/>
          <w:sz w:val="22"/>
          <w:szCs w:val="22"/>
        </w:rPr>
        <w:t>Despite this change, the proposals would not involve the loss of historic building fabric, would not affect the principal elevation of the listed building, and would preserve the Royal Oak’s architectural interest, legibility and continued use as a public house.</w:t>
      </w:r>
    </w:p>
    <w:p w14:paraId="5B623B86" w14:textId="6ED54AAA" w:rsidR="00A52F89" w:rsidRDefault="00A93B74" w:rsidP="00B12D34">
      <w:pPr>
        <w:jc w:val="both"/>
        <w:rPr>
          <w:rFonts w:ascii="Calibri" w:hAnsi="Calibri" w:cs="Calibri"/>
          <w:b/>
          <w:bCs/>
          <w:color w:val="0B0C0C"/>
          <w:sz w:val="22"/>
          <w:szCs w:val="22"/>
          <w:shd w:val="clear" w:color="auto" w:fill="FFFFFF"/>
        </w:rPr>
      </w:pPr>
      <w:r w:rsidRPr="00493D1E">
        <w:rPr>
          <w:rFonts w:ascii="Calibri" w:hAnsi="Calibri" w:cs="Calibri"/>
          <w:b/>
          <w:bCs/>
          <w:color w:val="0B0C0C"/>
          <w:sz w:val="22"/>
          <w:szCs w:val="22"/>
          <w:highlight w:val="lightGray"/>
          <w:shd w:val="clear" w:color="auto" w:fill="FFFFFF"/>
        </w:rPr>
        <w:lastRenderedPageBreak/>
        <w:t>Conclusion</w:t>
      </w:r>
    </w:p>
    <w:p w14:paraId="052CD64E" w14:textId="2E247EF6" w:rsidR="00544C54" w:rsidRPr="00544C54" w:rsidRDefault="00544C54" w:rsidP="00544C54">
      <w:pPr>
        <w:jc w:val="both"/>
        <w:rPr>
          <w:rFonts w:ascii="Calibri" w:hAnsi="Calibri" w:cs="Calibri"/>
          <w:color w:val="0B0C0C"/>
          <w:sz w:val="22"/>
          <w:szCs w:val="22"/>
          <w:shd w:val="clear" w:color="auto" w:fill="FFFFFF"/>
        </w:rPr>
      </w:pPr>
      <w:r w:rsidRPr="00544C54">
        <w:rPr>
          <w:rFonts w:ascii="Calibri" w:hAnsi="Calibri" w:cs="Calibri"/>
          <w:color w:val="0B0C0C"/>
          <w:sz w:val="22"/>
          <w:szCs w:val="22"/>
          <w:shd w:val="clear" w:color="auto" w:fill="FFFFFF"/>
        </w:rPr>
        <w:t xml:space="preserve">In accordance with Section 16 of the Planning (Listed Buildings and Conservation Areas) Act 1990, special regard </w:t>
      </w:r>
      <w:r w:rsidR="002B4900">
        <w:rPr>
          <w:rFonts w:ascii="Calibri" w:hAnsi="Calibri" w:cs="Calibri"/>
          <w:color w:val="0B0C0C"/>
          <w:sz w:val="22"/>
          <w:szCs w:val="22"/>
          <w:shd w:val="clear" w:color="auto" w:fill="FFFFFF"/>
        </w:rPr>
        <w:t>must be</w:t>
      </w:r>
      <w:r w:rsidRPr="00544C54">
        <w:rPr>
          <w:rFonts w:ascii="Calibri" w:hAnsi="Calibri" w:cs="Calibri"/>
          <w:color w:val="0B0C0C"/>
          <w:sz w:val="22"/>
          <w:szCs w:val="22"/>
          <w:shd w:val="clear" w:color="auto" w:fill="FFFFFF"/>
        </w:rPr>
        <w:t xml:space="preserve"> had to the desirability of preserving the Royal Oak and the features of special architectural and historic interest it possesses.</w:t>
      </w:r>
    </w:p>
    <w:p w14:paraId="242622A3" w14:textId="77777777" w:rsidR="00544C54" w:rsidRPr="00544C54" w:rsidRDefault="00544C54" w:rsidP="00544C54">
      <w:pPr>
        <w:jc w:val="both"/>
        <w:rPr>
          <w:rFonts w:ascii="Calibri" w:hAnsi="Calibri" w:cs="Calibri"/>
          <w:color w:val="0B0C0C"/>
          <w:sz w:val="22"/>
          <w:szCs w:val="22"/>
          <w:shd w:val="clear" w:color="auto" w:fill="FFFFFF"/>
        </w:rPr>
      </w:pPr>
      <w:r w:rsidRPr="00544C54">
        <w:rPr>
          <w:rFonts w:ascii="Calibri" w:hAnsi="Calibri" w:cs="Calibri"/>
          <w:color w:val="0B0C0C"/>
          <w:sz w:val="22"/>
          <w:szCs w:val="22"/>
          <w:shd w:val="clear" w:color="auto" w:fill="FFFFFF"/>
        </w:rPr>
        <w:t>The proposals would give rise to a low level of less than substantial harm, arising from the attachment of the new flood defence wall along the seaward edge of the harbour</w:t>
      </w:r>
      <w:r w:rsidRPr="00544C54">
        <w:rPr>
          <w:rFonts w:ascii="Calibri" w:hAnsi="Calibri" w:cs="Calibri"/>
          <w:color w:val="0B0C0C"/>
          <w:sz w:val="22"/>
          <w:szCs w:val="22"/>
          <w:shd w:val="clear" w:color="auto" w:fill="FFFFFF"/>
        </w:rPr>
        <w:noBreakHyphen/>
        <w:t>side footpath, which would alter the currently open and informal character of the curtilage and affect the way the building and its garden entrance are experienced in relation to the harbour. This harm is greater than that identified at Nos. 16–18 Langstone High Street due to the Royal Oak’s strong social and communal significance as a waterfront public house and the informal use of the quay</w:t>
      </w:r>
      <w:r w:rsidRPr="00544C54">
        <w:rPr>
          <w:rFonts w:ascii="Calibri" w:hAnsi="Calibri" w:cs="Calibri"/>
          <w:color w:val="0B0C0C"/>
          <w:sz w:val="22"/>
          <w:szCs w:val="22"/>
          <w:shd w:val="clear" w:color="auto" w:fill="FFFFFF"/>
        </w:rPr>
        <w:noBreakHyphen/>
        <w:t>side space associated with it.</w:t>
      </w:r>
    </w:p>
    <w:p w14:paraId="660B98CF" w14:textId="77777777" w:rsidR="00544C54" w:rsidRPr="00544C54" w:rsidRDefault="00544C54" w:rsidP="00544C54">
      <w:pPr>
        <w:jc w:val="both"/>
        <w:rPr>
          <w:rFonts w:ascii="Calibri" w:hAnsi="Calibri" w:cs="Calibri"/>
          <w:color w:val="0B0C0C"/>
          <w:sz w:val="22"/>
          <w:szCs w:val="22"/>
          <w:shd w:val="clear" w:color="auto" w:fill="FFFFFF"/>
        </w:rPr>
      </w:pPr>
      <w:r w:rsidRPr="00544C54">
        <w:rPr>
          <w:rFonts w:ascii="Calibri" w:hAnsi="Calibri" w:cs="Calibri"/>
          <w:color w:val="0B0C0C"/>
          <w:sz w:val="22"/>
          <w:szCs w:val="22"/>
          <w:shd w:val="clear" w:color="auto" w:fill="FFFFFF"/>
        </w:rPr>
        <w:t>However, the harm is considered acceptable in heritage terms because it is limited in extent, does not involve the loss of historic building fabric, does not affect the principal elevation of the listed building, and preserves the Royal Oak’s architectural interest, legibility and continued historic function as a public house. The existing stone</w:t>
      </w:r>
      <w:r w:rsidRPr="00544C54">
        <w:rPr>
          <w:rFonts w:ascii="Calibri" w:hAnsi="Calibri" w:cs="Calibri"/>
          <w:color w:val="0B0C0C"/>
          <w:sz w:val="22"/>
          <w:szCs w:val="22"/>
          <w:shd w:val="clear" w:color="auto" w:fill="FFFFFF"/>
        </w:rPr>
        <w:noBreakHyphen/>
        <w:t>flag footpath would be retained and reinstated, and any disturbance to curtilage fabric would be controlled through appropriate conditions.</w:t>
      </w:r>
    </w:p>
    <w:p w14:paraId="65F235FB" w14:textId="49276D19" w:rsidR="00544C54" w:rsidRPr="00544C54" w:rsidRDefault="00544C54" w:rsidP="00544C54">
      <w:pPr>
        <w:jc w:val="both"/>
        <w:rPr>
          <w:rFonts w:ascii="Calibri" w:hAnsi="Calibri" w:cs="Calibri"/>
          <w:color w:val="0B0C0C"/>
          <w:sz w:val="22"/>
          <w:szCs w:val="22"/>
          <w:shd w:val="clear" w:color="auto" w:fill="FFFFFF"/>
        </w:rPr>
      </w:pPr>
      <w:r w:rsidRPr="00544C54">
        <w:rPr>
          <w:rFonts w:ascii="Calibri" w:hAnsi="Calibri" w:cs="Calibri"/>
          <w:color w:val="0B0C0C"/>
          <w:sz w:val="22"/>
          <w:szCs w:val="22"/>
          <w:shd w:val="clear" w:color="auto" w:fill="FFFFFF"/>
        </w:rPr>
        <w:t>On this basis, the proposals are considered to preserve the listed building</w:t>
      </w:r>
      <w:r w:rsidR="0000763C">
        <w:rPr>
          <w:rFonts w:ascii="Calibri" w:hAnsi="Calibri" w:cs="Calibri"/>
          <w:color w:val="0B0C0C"/>
          <w:sz w:val="22"/>
          <w:szCs w:val="22"/>
          <w:shd w:val="clear" w:color="auto" w:fill="FFFFFF"/>
        </w:rPr>
        <w:t xml:space="preserve"> and its special architectural and historic interest</w:t>
      </w:r>
      <w:r w:rsidRPr="00544C54">
        <w:rPr>
          <w:rFonts w:ascii="Calibri" w:hAnsi="Calibri" w:cs="Calibri"/>
          <w:color w:val="0B0C0C"/>
          <w:sz w:val="22"/>
          <w:szCs w:val="22"/>
          <w:shd w:val="clear" w:color="auto" w:fill="FFFFFF"/>
        </w:rPr>
        <w:t>, and no objection is raised to the Listed Building Consent, subject to the recommended condition.</w:t>
      </w:r>
    </w:p>
    <w:p w14:paraId="0CC9EB2E" w14:textId="364BAAF6" w:rsidR="000B17A7" w:rsidRDefault="00C371B7" w:rsidP="000D281E">
      <w:pPr>
        <w:jc w:val="both"/>
        <w:rPr>
          <w:rFonts w:ascii="Calibri" w:hAnsi="Calibri" w:cs="Calibri"/>
          <w:b/>
          <w:bCs/>
          <w:sz w:val="22"/>
          <w:szCs w:val="22"/>
        </w:rPr>
      </w:pPr>
      <w:r>
        <w:rPr>
          <w:rFonts w:ascii="Calibri" w:hAnsi="Calibri" w:cs="Calibri"/>
          <w:b/>
          <w:bCs/>
          <w:sz w:val="22"/>
          <w:szCs w:val="22"/>
        </w:rPr>
        <w:t xml:space="preserve">NO </w:t>
      </w:r>
      <w:r w:rsidR="00822153" w:rsidRPr="00822153">
        <w:rPr>
          <w:rFonts w:ascii="Calibri" w:hAnsi="Calibri" w:cs="Calibri"/>
          <w:b/>
          <w:bCs/>
          <w:sz w:val="22"/>
          <w:szCs w:val="22"/>
        </w:rPr>
        <w:t>OBJECTION</w:t>
      </w:r>
      <w:r w:rsidR="00E263F1">
        <w:rPr>
          <w:rFonts w:ascii="Calibri" w:hAnsi="Calibri" w:cs="Calibri"/>
          <w:b/>
          <w:bCs/>
          <w:sz w:val="22"/>
          <w:szCs w:val="22"/>
        </w:rPr>
        <w:t xml:space="preserve"> </w:t>
      </w:r>
      <w:r w:rsidR="002B4900">
        <w:rPr>
          <w:rFonts w:ascii="Calibri" w:hAnsi="Calibri" w:cs="Calibri"/>
          <w:b/>
          <w:bCs/>
          <w:color w:val="0B0C0C"/>
          <w:sz w:val="22"/>
          <w:szCs w:val="22"/>
          <w:shd w:val="clear" w:color="auto" w:fill="FFFFFF"/>
        </w:rPr>
        <w:t>subject to the following condition</w:t>
      </w:r>
      <w:r w:rsidR="00DB11CE">
        <w:rPr>
          <w:rFonts w:ascii="Calibri" w:hAnsi="Calibri" w:cs="Calibri"/>
          <w:b/>
          <w:bCs/>
          <w:color w:val="0B0C0C"/>
          <w:sz w:val="22"/>
          <w:szCs w:val="22"/>
          <w:shd w:val="clear" w:color="auto" w:fill="FFFFFF"/>
        </w:rPr>
        <w:t>s</w:t>
      </w:r>
      <w:r w:rsidR="002B4900">
        <w:rPr>
          <w:rFonts w:ascii="Calibri" w:hAnsi="Calibri" w:cs="Calibri"/>
          <w:b/>
          <w:bCs/>
          <w:color w:val="0B0C0C"/>
          <w:sz w:val="22"/>
          <w:szCs w:val="22"/>
          <w:shd w:val="clear" w:color="auto" w:fill="FFFFFF"/>
        </w:rPr>
        <w:t>:</w:t>
      </w:r>
    </w:p>
    <w:p w14:paraId="0799E241" w14:textId="77777777" w:rsidR="00B663E9" w:rsidRDefault="00B663E9" w:rsidP="00B663E9">
      <w:pPr>
        <w:pStyle w:val="ListParagraph"/>
        <w:numPr>
          <w:ilvl w:val="0"/>
          <w:numId w:val="24"/>
        </w:numPr>
        <w:jc w:val="both"/>
        <w:rPr>
          <w:rFonts w:ascii="Calibri" w:hAnsi="Calibri" w:cs="Calibri"/>
          <w:sz w:val="22"/>
          <w:szCs w:val="22"/>
        </w:rPr>
      </w:pPr>
      <w:r w:rsidRPr="00B663E9">
        <w:rPr>
          <w:rFonts w:ascii="Calibri" w:hAnsi="Calibri" w:cs="Calibri"/>
          <w:sz w:val="22"/>
          <w:szCs w:val="22"/>
        </w:rPr>
        <w:t>Notwithstanding the approved drawings, no works affecting the existing stone</w:t>
      </w:r>
      <w:r w:rsidRPr="00B663E9">
        <w:rPr>
          <w:rFonts w:ascii="Calibri" w:hAnsi="Calibri" w:cs="Calibri"/>
          <w:sz w:val="22"/>
          <w:szCs w:val="22"/>
        </w:rPr>
        <w:noBreakHyphen/>
        <w:t xml:space="preserve">flag footpath forming part of the curtilage of the Royal Oak Public House shall commence until full details of the lifting, storage, protection and reinstatement of the flagstones have been submitted to and approved in writing by the Local Planning Authority. </w:t>
      </w:r>
    </w:p>
    <w:p w14:paraId="1B97AB2D" w14:textId="77777777" w:rsidR="00B663E9" w:rsidRDefault="00B663E9" w:rsidP="00B663E9">
      <w:pPr>
        <w:jc w:val="both"/>
        <w:rPr>
          <w:rFonts w:ascii="Calibri" w:hAnsi="Calibri" w:cs="Calibri"/>
          <w:sz w:val="22"/>
          <w:szCs w:val="22"/>
        </w:rPr>
      </w:pPr>
      <w:r w:rsidRPr="00B663E9">
        <w:rPr>
          <w:rFonts w:ascii="Calibri" w:hAnsi="Calibri" w:cs="Calibri"/>
          <w:sz w:val="22"/>
          <w:szCs w:val="22"/>
        </w:rPr>
        <w:t xml:space="preserve">The details shall include: </w:t>
      </w:r>
    </w:p>
    <w:p w14:paraId="0DA9F111" w14:textId="77777777" w:rsidR="00B663E9" w:rsidRDefault="00B663E9" w:rsidP="00B663E9">
      <w:pPr>
        <w:ind w:left="720" w:firstLine="720"/>
        <w:jc w:val="both"/>
        <w:rPr>
          <w:rFonts w:ascii="Calibri" w:hAnsi="Calibri" w:cs="Calibri"/>
          <w:sz w:val="22"/>
          <w:szCs w:val="22"/>
        </w:rPr>
      </w:pPr>
      <w:r w:rsidRPr="00B663E9">
        <w:rPr>
          <w:rFonts w:ascii="Calibri" w:hAnsi="Calibri" w:cs="Calibri"/>
          <w:sz w:val="22"/>
          <w:szCs w:val="22"/>
        </w:rPr>
        <w:t xml:space="preserve">• a record of the existing layout and levels of the flagstones; </w:t>
      </w:r>
    </w:p>
    <w:p w14:paraId="3530DFA6" w14:textId="77777777" w:rsidR="00B663E9" w:rsidRDefault="00B663E9" w:rsidP="00B663E9">
      <w:pPr>
        <w:ind w:left="720" w:firstLine="720"/>
        <w:jc w:val="both"/>
        <w:rPr>
          <w:rFonts w:ascii="Calibri" w:hAnsi="Calibri" w:cs="Calibri"/>
          <w:sz w:val="22"/>
          <w:szCs w:val="22"/>
        </w:rPr>
      </w:pPr>
      <w:r w:rsidRPr="00B663E9">
        <w:rPr>
          <w:rFonts w:ascii="Calibri" w:hAnsi="Calibri" w:cs="Calibri"/>
          <w:sz w:val="22"/>
          <w:szCs w:val="22"/>
        </w:rPr>
        <w:t xml:space="preserve">• proposals for careful lifting and temporary storage; </w:t>
      </w:r>
    </w:p>
    <w:p w14:paraId="493FD34E" w14:textId="77777777" w:rsidR="00B663E9" w:rsidRDefault="00B663E9" w:rsidP="00B663E9">
      <w:pPr>
        <w:ind w:left="720" w:firstLine="720"/>
        <w:jc w:val="both"/>
        <w:rPr>
          <w:rFonts w:ascii="Calibri" w:hAnsi="Calibri" w:cs="Calibri"/>
          <w:sz w:val="22"/>
          <w:szCs w:val="22"/>
        </w:rPr>
      </w:pPr>
      <w:r w:rsidRPr="00B663E9">
        <w:rPr>
          <w:rFonts w:ascii="Calibri" w:hAnsi="Calibri" w:cs="Calibri"/>
          <w:sz w:val="22"/>
          <w:szCs w:val="22"/>
        </w:rPr>
        <w:t xml:space="preserve">• measures to prevent damage during construction; </w:t>
      </w:r>
    </w:p>
    <w:p w14:paraId="260CE0A4" w14:textId="77777777" w:rsidR="00B663E9" w:rsidRDefault="00B663E9" w:rsidP="00B663E9">
      <w:pPr>
        <w:ind w:left="720" w:firstLine="720"/>
        <w:jc w:val="both"/>
        <w:rPr>
          <w:rFonts w:ascii="Calibri" w:hAnsi="Calibri" w:cs="Calibri"/>
          <w:sz w:val="22"/>
          <w:szCs w:val="22"/>
        </w:rPr>
      </w:pPr>
      <w:r w:rsidRPr="00B663E9">
        <w:rPr>
          <w:rFonts w:ascii="Calibri" w:hAnsi="Calibri" w:cs="Calibri"/>
          <w:sz w:val="22"/>
          <w:szCs w:val="22"/>
        </w:rPr>
        <w:t xml:space="preserve">• details of reinstatement, including bedding, jointing and final levels; and </w:t>
      </w:r>
    </w:p>
    <w:p w14:paraId="507AA27C" w14:textId="77777777" w:rsidR="003B3DB4" w:rsidRDefault="00B663E9" w:rsidP="003B3DB4">
      <w:pPr>
        <w:ind w:left="1440"/>
        <w:jc w:val="both"/>
        <w:rPr>
          <w:rFonts w:ascii="Calibri" w:hAnsi="Calibri" w:cs="Calibri"/>
          <w:sz w:val="22"/>
          <w:szCs w:val="22"/>
        </w:rPr>
      </w:pPr>
      <w:r w:rsidRPr="00B663E9">
        <w:rPr>
          <w:rFonts w:ascii="Calibri" w:hAnsi="Calibri" w:cs="Calibri"/>
          <w:sz w:val="22"/>
          <w:szCs w:val="22"/>
        </w:rPr>
        <w:t xml:space="preserve">• details of the interface between the reinstated footpath and the new flood defence wall. </w:t>
      </w:r>
    </w:p>
    <w:p w14:paraId="4B80DE84" w14:textId="77777777" w:rsidR="003B3DB4" w:rsidRDefault="00B663E9" w:rsidP="003B3DB4">
      <w:pPr>
        <w:jc w:val="both"/>
        <w:rPr>
          <w:rFonts w:ascii="Calibri" w:hAnsi="Calibri" w:cs="Calibri"/>
          <w:sz w:val="22"/>
          <w:szCs w:val="22"/>
        </w:rPr>
      </w:pPr>
      <w:r w:rsidRPr="00B663E9">
        <w:rPr>
          <w:rFonts w:ascii="Calibri" w:hAnsi="Calibri" w:cs="Calibri"/>
          <w:sz w:val="22"/>
          <w:szCs w:val="22"/>
        </w:rPr>
        <w:t xml:space="preserve">The works shall thereafter be carried out fully in accordance with the approved details. </w:t>
      </w:r>
    </w:p>
    <w:p w14:paraId="5778086B" w14:textId="08C36831" w:rsidR="00B663E9" w:rsidRPr="00B663E9" w:rsidRDefault="00B663E9" w:rsidP="003B3DB4">
      <w:pPr>
        <w:jc w:val="both"/>
        <w:rPr>
          <w:rFonts w:ascii="Calibri" w:hAnsi="Calibri" w:cs="Calibri"/>
          <w:sz w:val="22"/>
          <w:szCs w:val="22"/>
        </w:rPr>
      </w:pPr>
      <w:r w:rsidRPr="003B3DB4">
        <w:rPr>
          <w:rFonts w:ascii="Calibri" w:hAnsi="Calibri" w:cs="Calibri"/>
          <w:b/>
          <w:bCs/>
          <w:sz w:val="22"/>
          <w:szCs w:val="22"/>
        </w:rPr>
        <w:t>Reason:</w:t>
      </w:r>
      <w:r w:rsidRPr="00B663E9">
        <w:rPr>
          <w:rFonts w:ascii="Calibri" w:hAnsi="Calibri" w:cs="Calibri"/>
          <w:sz w:val="22"/>
          <w:szCs w:val="22"/>
        </w:rPr>
        <w:t xml:space="preserve"> To preserve historic fabric and safeguard the special architectural and historic interest of the listed building, in accordance with Section 16 of the Planning (Listed Buildings and Conservation Areas) Act 1990.</w:t>
      </w:r>
    </w:p>
    <w:p w14:paraId="5EE22309" w14:textId="3E30753F" w:rsidR="00DF32BA" w:rsidRDefault="00145FD8" w:rsidP="00145FD8">
      <w:pPr>
        <w:pStyle w:val="ListParagraph"/>
        <w:numPr>
          <w:ilvl w:val="0"/>
          <w:numId w:val="24"/>
        </w:numPr>
        <w:jc w:val="both"/>
        <w:rPr>
          <w:rFonts w:ascii="Calibri" w:hAnsi="Calibri" w:cs="Calibri"/>
          <w:sz w:val="22"/>
          <w:szCs w:val="22"/>
        </w:rPr>
      </w:pPr>
      <w:r>
        <w:rPr>
          <w:rFonts w:ascii="Calibri" w:hAnsi="Calibri" w:cs="Calibri"/>
          <w:sz w:val="22"/>
          <w:szCs w:val="22"/>
        </w:rPr>
        <w:t xml:space="preserve">Where any existing stone-flay paving forming part of the curtilage of the Royal Oak Public House </w:t>
      </w:r>
      <w:r w:rsidR="0004434D">
        <w:rPr>
          <w:rFonts w:ascii="Calibri" w:hAnsi="Calibri" w:cs="Calibri"/>
          <w:sz w:val="22"/>
          <w:szCs w:val="22"/>
        </w:rPr>
        <w:t xml:space="preserve">is demonstrated, to the satisfaction of the Local Planning Authority, to be incapable of reinstatement, no replacement materials shall be installed until details of the proposed </w:t>
      </w:r>
      <w:r w:rsidR="0004434D">
        <w:rPr>
          <w:rFonts w:ascii="Calibri" w:hAnsi="Calibri" w:cs="Calibri"/>
          <w:sz w:val="22"/>
          <w:szCs w:val="22"/>
        </w:rPr>
        <w:lastRenderedPageBreak/>
        <w:t xml:space="preserve">replacement stone have been submitted to and approved in writing by the Local Planning Authority. </w:t>
      </w:r>
    </w:p>
    <w:p w14:paraId="7258D403" w14:textId="77777777" w:rsidR="00C90027" w:rsidRDefault="00C90027" w:rsidP="00C90027">
      <w:pPr>
        <w:pStyle w:val="ListParagraph"/>
        <w:jc w:val="both"/>
        <w:rPr>
          <w:rFonts w:ascii="Calibri" w:hAnsi="Calibri" w:cs="Calibri"/>
          <w:sz w:val="22"/>
          <w:szCs w:val="22"/>
        </w:rPr>
      </w:pPr>
    </w:p>
    <w:p w14:paraId="7249DC47" w14:textId="7369D3C1" w:rsidR="00C90027" w:rsidRDefault="00C90027" w:rsidP="00C90027">
      <w:pPr>
        <w:pStyle w:val="ListParagraph"/>
        <w:jc w:val="both"/>
        <w:rPr>
          <w:rFonts w:ascii="Calibri" w:hAnsi="Calibri" w:cs="Calibri"/>
          <w:sz w:val="22"/>
          <w:szCs w:val="22"/>
        </w:rPr>
      </w:pPr>
      <w:r>
        <w:rPr>
          <w:rFonts w:ascii="Calibri" w:hAnsi="Calibri" w:cs="Calibri"/>
          <w:sz w:val="22"/>
          <w:szCs w:val="22"/>
        </w:rPr>
        <w:t xml:space="preserve">The details shall include the source, type, dimensions, texture and finish of the replacement stone, which shall match the existing stone-flag paving as closely as possible. </w:t>
      </w:r>
    </w:p>
    <w:p w14:paraId="5C846FD4" w14:textId="77777777" w:rsidR="00C90027" w:rsidRDefault="00C90027" w:rsidP="00C90027">
      <w:pPr>
        <w:pStyle w:val="ListParagraph"/>
        <w:jc w:val="both"/>
        <w:rPr>
          <w:rFonts w:ascii="Calibri" w:hAnsi="Calibri" w:cs="Calibri"/>
          <w:sz w:val="22"/>
          <w:szCs w:val="22"/>
        </w:rPr>
      </w:pPr>
    </w:p>
    <w:p w14:paraId="57A22F40" w14:textId="27D5B056" w:rsidR="00C90027" w:rsidRPr="00DF32BA" w:rsidRDefault="00C90027" w:rsidP="00C90027">
      <w:pPr>
        <w:pStyle w:val="ListParagraph"/>
        <w:jc w:val="both"/>
        <w:rPr>
          <w:rFonts w:ascii="Calibri" w:hAnsi="Calibri" w:cs="Calibri"/>
          <w:sz w:val="22"/>
          <w:szCs w:val="22"/>
        </w:rPr>
      </w:pPr>
      <w:r>
        <w:rPr>
          <w:rFonts w:ascii="Calibri" w:hAnsi="Calibri" w:cs="Calibri"/>
          <w:sz w:val="22"/>
          <w:szCs w:val="22"/>
        </w:rPr>
        <w:t xml:space="preserve">The works shall thereafter be carried out fully in accordance with the approved details. </w:t>
      </w:r>
    </w:p>
    <w:p w14:paraId="5E1C6E50" w14:textId="71DA3367" w:rsidR="00D44038" w:rsidRPr="000B17A7" w:rsidRDefault="006A3AD6" w:rsidP="000D281E">
      <w:pPr>
        <w:jc w:val="both"/>
        <w:rPr>
          <w:rFonts w:ascii="Calibri" w:hAnsi="Calibri" w:cs="Calibri"/>
          <w:sz w:val="22"/>
          <w:szCs w:val="22"/>
        </w:rPr>
      </w:pPr>
      <w:r w:rsidRPr="006A3AD6">
        <w:rPr>
          <w:rFonts w:ascii="Calibri" w:hAnsi="Calibri" w:cs="Calibri"/>
          <w:b/>
          <w:bCs/>
          <w:sz w:val="22"/>
          <w:szCs w:val="22"/>
        </w:rPr>
        <w:t>Reason:</w:t>
      </w:r>
      <w:r>
        <w:rPr>
          <w:rFonts w:ascii="Calibri" w:hAnsi="Calibri" w:cs="Calibri"/>
          <w:sz w:val="22"/>
          <w:szCs w:val="22"/>
        </w:rPr>
        <w:t xml:space="preserve"> To ensure that any replacement materials preserve the character and appearance of the historic curtilage and safeguard the special architectural and historic interest of the listed building, in accordance with Section 16 of the Planning (Listed Buildings and Conservation Areas) Act 1990. </w:t>
      </w:r>
    </w:p>
    <w:sectPr w:rsidR="00D44038" w:rsidRPr="000B17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052C"/>
    <w:multiLevelType w:val="hybridMultilevel"/>
    <w:tmpl w:val="8662D6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867A05"/>
    <w:multiLevelType w:val="hybridMultilevel"/>
    <w:tmpl w:val="B81EE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E92D4E"/>
    <w:multiLevelType w:val="hybridMultilevel"/>
    <w:tmpl w:val="7E420FFA"/>
    <w:lvl w:ilvl="0" w:tplc="1096D03E">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CA5202"/>
    <w:multiLevelType w:val="hybridMultilevel"/>
    <w:tmpl w:val="E1949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D932F4"/>
    <w:multiLevelType w:val="hybridMultilevel"/>
    <w:tmpl w:val="BE8A63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BB2965"/>
    <w:multiLevelType w:val="hybridMultilevel"/>
    <w:tmpl w:val="017EB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D813E5"/>
    <w:multiLevelType w:val="hybridMultilevel"/>
    <w:tmpl w:val="C9EE32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A5E00E0"/>
    <w:multiLevelType w:val="hybridMultilevel"/>
    <w:tmpl w:val="2F10E30C"/>
    <w:lvl w:ilvl="0" w:tplc="EF98253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7AA21CB"/>
    <w:multiLevelType w:val="hybridMultilevel"/>
    <w:tmpl w:val="5C4E99E8"/>
    <w:lvl w:ilvl="0" w:tplc="FB3AA54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E40C2C"/>
    <w:multiLevelType w:val="hybridMultilevel"/>
    <w:tmpl w:val="061815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C985CC5"/>
    <w:multiLevelType w:val="hybridMultilevel"/>
    <w:tmpl w:val="437E8AF2"/>
    <w:lvl w:ilvl="0" w:tplc="CECCE4C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DE642AC"/>
    <w:multiLevelType w:val="multilevel"/>
    <w:tmpl w:val="25B4B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514BC4"/>
    <w:multiLevelType w:val="multilevel"/>
    <w:tmpl w:val="E2F2E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286AAA"/>
    <w:multiLevelType w:val="hybridMultilevel"/>
    <w:tmpl w:val="769804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8811E3D"/>
    <w:multiLevelType w:val="multilevel"/>
    <w:tmpl w:val="A100F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C816DC"/>
    <w:multiLevelType w:val="hybridMultilevel"/>
    <w:tmpl w:val="DE001E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AC165D3"/>
    <w:multiLevelType w:val="hybridMultilevel"/>
    <w:tmpl w:val="1C44DA40"/>
    <w:lvl w:ilvl="0" w:tplc="81948934">
      <w:start w:val="1"/>
      <w:numFmt w:val="decimal"/>
      <w:lvlText w:val="%1."/>
      <w:lvlJc w:val="left"/>
      <w:pPr>
        <w:ind w:left="720" w:hanging="360"/>
      </w:pPr>
      <w:rPr>
        <w:rFonts w:ascii="Calibri" w:hAnsi="Calibri" w:cs="Calibri" w:hint="default"/>
        <w:color w:val="0B0C0C"/>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64A39CD"/>
    <w:multiLevelType w:val="multilevel"/>
    <w:tmpl w:val="529EF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1923702">
    <w:abstractNumId w:val="9"/>
  </w:num>
  <w:num w:numId="2" w16cid:durableId="751972753">
    <w:abstractNumId w:val="22"/>
  </w:num>
  <w:num w:numId="3" w16cid:durableId="1809206664">
    <w:abstractNumId w:val="11"/>
  </w:num>
  <w:num w:numId="4" w16cid:durableId="2032418738">
    <w:abstractNumId w:val="17"/>
  </w:num>
  <w:num w:numId="5" w16cid:durableId="887572044">
    <w:abstractNumId w:val="6"/>
  </w:num>
  <w:num w:numId="6" w16cid:durableId="315845238">
    <w:abstractNumId w:val="14"/>
  </w:num>
  <w:num w:numId="7" w16cid:durableId="159973812">
    <w:abstractNumId w:val="3"/>
  </w:num>
  <w:num w:numId="8" w16cid:durableId="1633057636">
    <w:abstractNumId w:val="1"/>
  </w:num>
  <w:num w:numId="9" w16cid:durableId="999768810">
    <w:abstractNumId w:val="21"/>
  </w:num>
  <w:num w:numId="10" w16cid:durableId="979652522">
    <w:abstractNumId w:val="20"/>
  </w:num>
  <w:num w:numId="11" w16cid:durableId="1415201962">
    <w:abstractNumId w:val="5"/>
  </w:num>
  <w:num w:numId="12" w16cid:durableId="2146316439">
    <w:abstractNumId w:val="0"/>
  </w:num>
  <w:num w:numId="13" w16cid:durableId="1963880985">
    <w:abstractNumId w:val="2"/>
  </w:num>
  <w:num w:numId="14" w16cid:durableId="31345016">
    <w:abstractNumId w:val="18"/>
  </w:num>
  <w:num w:numId="15" w16cid:durableId="1813019218">
    <w:abstractNumId w:val="8"/>
  </w:num>
  <w:num w:numId="16" w16cid:durableId="1040472172">
    <w:abstractNumId w:val="13"/>
  </w:num>
  <w:num w:numId="17" w16cid:durableId="857744031">
    <w:abstractNumId w:val="4"/>
  </w:num>
  <w:num w:numId="18" w16cid:durableId="1339457360">
    <w:abstractNumId w:val="12"/>
  </w:num>
  <w:num w:numId="19" w16cid:durableId="1545485268">
    <w:abstractNumId w:val="10"/>
  </w:num>
  <w:num w:numId="20" w16cid:durableId="1944650987">
    <w:abstractNumId w:val="16"/>
  </w:num>
  <w:num w:numId="21" w16cid:durableId="983582430">
    <w:abstractNumId w:val="19"/>
  </w:num>
  <w:num w:numId="22" w16cid:durableId="1765033022">
    <w:abstractNumId w:val="23"/>
  </w:num>
  <w:num w:numId="23" w16cid:durableId="794760912">
    <w:abstractNumId w:val="15"/>
  </w:num>
  <w:num w:numId="24" w16cid:durableId="6098944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10F6"/>
    <w:rsid w:val="0000221E"/>
    <w:rsid w:val="00003B6E"/>
    <w:rsid w:val="0000763C"/>
    <w:rsid w:val="00023651"/>
    <w:rsid w:val="00024423"/>
    <w:rsid w:val="00032BAD"/>
    <w:rsid w:val="00036618"/>
    <w:rsid w:val="0004434D"/>
    <w:rsid w:val="000B007A"/>
    <w:rsid w:val="000B1774"/>
    <w:rsid w:val="000B17A7"/>
    <w:rsid w:val="000B3B84"/>
    <w:rsid w:val="000C66F8"/>
    <w:rsid w:val="000C6896"/>
    <w:rsid w:val="000D281E"/>
    <w:rsid w:val="0011443E"/>
    <w:rsid w:val="0012767B"/>
    <w:rsid w:val="00136C77"/>
    <w:rsid w:val="00145FD8"/>
    <w:rsid w:val="0014625B"/>
    <w:rsid w:val="00150B4F"/>
    <w:rsid w:val="00170E0A"/>
    <w:rsid w:val="001773AE"/>
    <w:rsid w:val="00181232"/>
    <w:rsid w:val="00195710"/>
    <w:rsid w:val="00195D83"/>
    <w:rsid w:val="001B119E"/>
    <w:rsid w:val="001B4EEA"/>
    <w:rsid w:val="00205253"/>
    <w:rsid w:val="00214695"/>
    <w:rsid w:val="0021656A"/>
    <w:rsid w:val="0025513C"/>
    <w:rsid w:val="0027172E"/>
    <w:rsid w:val="002727E7"/>
    <w:rsid w:val="00291CE4"/>
    <w:rsid w:val="002A25D7"/>
    <w:rsid w:val="002A749C"/>
    <w:rsid w:val="002B4900"/>
    <w:rsid w:val="002B51D4"/>
    <w:rsid w:val="002D7F26"/>
    <w:rsid w:val="002E5E23"/>
    <w:rsid w:val="002F6E50"/>
    <w:rsid w:val="00300B12"/>
    <w:rsid w:val="00317A8F"/>
    <w:rsid w:val="0033167B"/>
    <w:rsid w:val="0034327E"/>
    <w:rsid w:val="0034345F"/>
    <w:rsid w:val="00343DA8"/>
    <w:rsid w:val="003702EE"/>
    <w:rsid w:val="003B3DB4"/>
    <w:rsid w:val="003B4A51"/>
    <w:rsid w:val="003E548E"/>
    <w:rsid w:val="003F58EF"/>
    <w:rsid w:val="00434709"/>
    <w:rsid w:val="004377FB"/>
    <w:rsid w:val="004458F7"/>
    <w:rsid w:val="00462063"/>
    <w:rsid w:val="00463DFD"/>
    <w:rsid w:val="00474EE8"/>
    <w:rsid w:val="00493D1E"/>
    <w:rsid w:val="004A4230"/>
    <w:rsid w:val="004C6E91"/>
    <w:rsid w:val="004E41DC"/>
    <w:rsid w:val="004F61DA"/>
    <w:rsid w:val="005225AA"/>
    <w:rsid w:val="005321F2"/>
    <w:rsid w:val="00535273"/>
    <w:rsid w:val="00544C54"/>
    <w:rsid w:val="00552D1D"/>
    <w:rsid w:val="00580A86"/>
    <w:rsid w:val="00586210"/>
    <w:rsid w:val="005A0CAD"/>
    <w:rsid w:val="005A2565"/>
    <w:rsid w:val="005B3E8F"/>
    <w:rsid w:val="005E3299"/>
    <w:rsid w:val="005E41E7"/>
    <w:rsid w:val="00600B95"/>
    <w:rsid w:val="00616599"/>
    <w:rsid w:val="00621CC0"/>
    <w:rsid w:val="006307AC"/>
    <w:rsid w:val="00634D74"/>
    <w:rsid w:val="00675137"/>
    <w:rsid w:val="006A3AD6"/>
    <w:rsid w:val="006B6704"/>
    <w:rsid w:val="006D32BA"/>
    <w:rsid w:val="006E213E"/>
    <w:rsid w:val="006E4DE7"/>
    <w:rsid w:val="006F1D88"/>
    <w:rsid w:val="0070289F"/>
    <w:rsid w:val="007639A2"/>
    <w:rsid w:val="00767F0F"/>
    <w:rsid w:val="00767FF8"/>
    <w:rsid w:val="00770D5E"/>
    <w:rsid w:val="00792A77"/>
    <w:rsid w:val="0079536D"/>
    <w:rsid w:val="007B0435"/>
    <w:rsid w:val="007C6765"/>
    <w:rsid w:val="007D2638"/>
    <w:rsid w:val="007F3519"/>
    <w:rsid w:val="007F715B"/>
    <w:rsid w:val="00822153"/>
    <w:rsid w:val="00834EF5"/>
    <w:rsid w:val="00851CBE"/>
    <w:rsid w:val="00856F38"/>
    <w:rsid w:val="0088471E"/>
    <w:rsid w:val="008B71ED"/>
    <w:rsid w:val="008C7E14"/>
    <w:rsid w:val="008D7E97"/>
    <w:rsid w:val="009006FC"/>
    <w:rsid w:val="009070B4"/>
    <w:rsid w:val="009369E8"/>
    <w:rsid w:val="00937EA4"/>
    <w:rsid w:val="00970669"/>
    <w:rsid w:val="009769E7"/>
    <w:rsid w:val="00985F88"/>
    <w:rsid w:val="009A6F4C"/>
    <w:rsid w:val="009B1742"/>
    <w:rsid w:val="009B6F58"/>
    <w:rsid w:val="009D1590"/>
    <w:rsid w:val="009F709F"/>
    <w:rsid w:val="00A1734B"/>
    <w:rsid w:val="00A2531E"/>
    <w:rsid w:val="00A30910"/>
    <w:rsid w:val="00A52F89"/>
    <w:rsid w:val="00A5331A"/>
    <w:rsid w:val="00A62287"/>
    <w:rsid w:val="00A642F1"/>
    <w:rsid w:val="00A75182"/>
    <w:rsid w:val="00A860E5"/>
    <w:rsid w:val="00A87F67"/>
    <w:rsid w:val="00A93B74"/>
    <w:rsid w:val="00B026B1"/>
    <w:rsid w:val="00B102B2"/>
    <w:rsid w:val="00B12D34"/>
    <w:rsid w:val="00B335BB"/>
    <w:rsid w:val="00B374C1"/>
    <w:rsid w:val="00B4729B"/>
    <w:rsid w:val="00B632A1"/>
    <w:rsid w:val="00B663E9"/>
    <w:rsid w:val="00B75136"/>
    <w:rsid w:val="00B858C6"/>
    <w:rsid w:val="00BA4A39"/>
    <w:rsid w:val="00BC03D2"/>
    <w:rsid w:val="00BD4A90"/>
    <w:rsid w:val="00BD4C0D"/>
    <w:rsid w:val="00C07F8C"/>
    <w:rsid w:val="00C12ECA"/>
    <w:rsid w:val="00C136C4"/>
    <w:rsid w:val="00C149E6"/>
    <w:rsid w:val="00C319BF"/>
    <w:rsid w:val="00C34A68"/>
    <w:rsid w:val="00C371B7"/>
    <w:rsid w:val="00C37ED6"/>
    <w:rsid w:val="00C5124F"/>
    <w:rsid w:val="00C7362F"/>
    <w:rsid w:val="00C8327A"/>
    <w:rsid w:val="00C90027"/>
    <w:rsid w:val="00CC4BEC"/>
    <w:rsid w:val="00CD18F5"/>
    <w:rsid w:val="00CF3EBB"/>
    <w:rsid w:val="00D132BD"/>
    <w:rsid w:val="00D376DF"/>
    <w:rsid w:val="00D44038"/>
    <w:rsid w:val="00D627B4"/>
    <w:rsid w:val="00DB11CE"/>
    <w:rsid w:val="00DF32BA"/>
    <w:rsid w:val="00DF4CDC"/>
    <w:rsid w:val="00DF7452"/>
    <w:rsid w:val="00E263F1"/>
    <w:rsid w:val="00E426F2"/>
    <w:rsid w:val="00E439DC"/>
    <w:rsid w:val="00E81C21"/>
    <w:rsid w:val="00E96105"/>
    <w:rsid w:val="00EA2D36"/>
    <w:rsid w:val="00EB7197"/>
    <w:rsid w:val="00ED1406"/>
    <w:rsid w:val="00EE1E97"/>
    <w:rsid w:val="00F0018C"/>
    <w:rsid w:val="00F04345"/>
    <w:rsid w:val="00F076A6"/>
    <w:rsid w:val="00F161D7"/>
    <w:rsid w:val="00F24ED8"/>
    <w:rsid w:val="00F71F1C"/>
    <w:rsid w:val="00F73445"/>
    <w:rsid w:val="00F76CB2"/>
    <w:rsid w:val="00F841E7"/>
    <w:rsid w:val="00F86CF6"/>
    <w:rsid w:val="00FA0393"/>
    <w:rsid w:val="00FA12C0"/>
    <w:rsid w:val="00FC06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DFEF3EAB-D3DF-480C-9BD4-F3CDA7688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customStyle="1" w:styleId="Default">
    <w:name w:val="Default"/>
    <w:rsid w:val="004458F7"/>
    <w:pPr>
      <w:autoSpaceDE w:val="0"/>
      <w:autoSpaceDN w:val="0"/>
      <w:adjustRightInd w:val="0"/>
      <w:spacing w:after="0" w:line="240" w:lineRule="auto"/>
    </w:pPr>
    <w:rPr>
      <w:rFonts w:ascii="Calibri" w:hAnsi="Calibri" w:cs="Calibri"/>
      <w:color w:val="000000"/>
      <w:kern w:val="0"/>
      <w14:ligatures w14:val="none"/>
    </w:rPr>
  </w:style>
  <w:style w:type="character" w:customStyle="1" w:styleId="address">
    <w:name w:val="address"/>
    <w:basedOn w:val="DefaultParagraphFont"/>
    <w:rsid w:val="004347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1998</Words>
  <Characters>12032</Characters>
  <Application>Microsoft Office Word</Application>
  <DocSecurity>4</DocSecurity>
  <Lines>250</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McMurray, Rachael</cp:lastModifiedBy>
  <cp:revision>2</cp:revision>
  <dcterms:created xsi:type="dcterms:W3CDTF">2026-05-11T19:34:00Z</dcterms:created>
  <dcterms:modified xsi:type="dcterms:W3CDTF">2026-05-11T19:34:00Z</dcterms:modified>
</cp:coreProperties>
</file>