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3AFC59E"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393D4485" w:rsidR="00D376DF" w:rsidRPr="00493D1E" w:rsidRDefault="0027172E"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D29AC69">
                <wp:simplePos x="0" y="0"/>
                <wp:positionH relativeFrom="column">
                  <wp:posOffset>20320</wp:posOffset>
                </wp:positionH>
                <wp:positionV relativeFrom="paragraph">
                  <wp:posOffset>407035</wp:posOffset>
                </wp:positionV>
                <wp:extent cx="5775960" cy="2160905"/>
                <wp:effectExtent l="0" t="0" r="1524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16090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69E11B1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0378D9">
                              <w:rPr>
                                <w:rFonts w:ascii="Calibri" w:hAnsi="Calibri" w:cs="Calibri"/>
                                <w:b/>
                                <w:sz w:val="22"/>
                                <w:szCs w:val="22"/>
                              </w:rPr>
                              <w:t>27/4/2026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71067C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934BC3">
                              <w:rPr>
                                <w:rFonts w:ascii="Calibri" w:hAnsi="Calibri" w:cs="Calibri"/>
                                <w:b/>
                                <w:sz w:val="22"/>
                                <w:szCs w:val="22"/>
                              </w:rPr>
                              <w:t>17</w:t>
                            </w:r>
                            <w:r w:rsidR="001C33BE">
                              <w:rPr>
                                <w:rFonts w:ascii="Calibri" w:hAnsi="Calibri" w:cs="Calibri"/>
                                <w:b/>
                                <w:sz w:val="22"/>
                                <w:szCs w:val="22"/>
                              </w:rPr>
                              <w:t>4</w:t>
                            </w:r>
                          </w:p>
                          <w:p w14:paraId="458D1D24" w14:textId="32BB580C"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1C33BE">
                              <w:rPr>
                                <w:rFonts w:ascii="Calibri" w:hAnsi="Calibri" w:cs="Calibri"/>
                                <w:b/>
                                <w:sz w:val="22"/>
                                <w:szCs w:val="22"/>
                              </w:rPr>
                              <w:t>The Ship Inn</w:t>
                            </w:r>
                            <w:r w:rsidR="0053182E">
                              <w:rPr>
                                <w:rFonts w:ascii="Calibri" w:hAnsi="Calibri" w:cs="Calibri"/>
                                <w:b/>
                                <w:sz w:val="22"/>
                                <w:szCs w:val="22"/>
                              </w:rPr>
                              <w:t xml:space="preserve"> Langstone </w:t>
                            </w:r>
                            <w:r w:rsidR="001C33BE">
                              <w:rPr>
                                <w:rFonts w:ascii="Calibri" w:hAnsi="Calibri" w:cs="Calibri"/>
                                <w:b/>
                                <w:sz w:val="22"/>
                                <w:szCs w:val="22"/>
                              </w:rPr>
                              <w:t>Road</w:t>
                            </w:r>
                            <w:r w:rsidR="0053182E">
                              <w:rPr>
                                <w:rFonts w:ascii="Calibri" w:hAnsi="Calibri" w:cs="Calibri"/>
                                <w:b/>
                                <w:sz w:val="22"/>
                                <w:szCs w:val="22"/>
                              </w:rPr>
                              <w:t xml:space="preserve">, Havant </w:t>
                            </w:r>
                          </w:p>
                          <w:p w14:paraId="122D52D5" w14:textId="4BDCA7F0"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1C33BE" w:rsidRPr="001C33BE">
                              <w:rPr>
                                <w:rFonts w:ascii="Calibri" w:hAnsi="Calibri" w:cs="Calibri"/>
                                <w:b/>
                                <w:sz w:val="22"/>
                                <w:szCs w:val="22"/>
                              </w:rPr>
                              <w:t>Listed Building Consent application for works to the Ship Inn to include raising and resurfacing of the carpark, provision of a retaining wall and steps to the southern courtyard, provision of replacement boundary wall to courtyard with brick-clad wall and flood glass barrier, provision of flood gate and new concrete footpath and low wall seaward of The Ship Inn Annex.</w:t>
                            </w:r>
                          </w:p>
                          <w:p w14:paraId="30CE3EED" w14:textId="7B8CF1B2" w:rsidR="0027172E" w:rsidRDefault="0027172E" w:rsidP="0027172E">
                            <w:pPr>
                              <w:pStyle w:val="Normal0"/>
                              <w:rPr>
                                <w:rFonts w:ascii="Calibri" w:hAnsi="Calibri" w:cs="Calibri"/>
                                <w:b/>
                                <w:sz w:val="22"/>
                                <w:szCs w:val="22"/>
                              </w:rPr>
                            </w:pPr>
                          </w:p>
                          <w:p w14:paraId="2E571721" w14:textId="33A17220" w:rsidR="0053182E" w:rsidRPr="0053182E" w:rsidRDefault="0053182E" w:rsidP="0053182E">
                            <w:pPr>
                              <w:pStyle w:val="Normal0"/>
                              <w:rPr>
                                <w:rFonts w:ascii="Calibri" w:hAnsi="Calibri" w:cs="Calibri"/>
                                <w:b/>
                                <w:sz w:val="22"/>
                                <w:szCs w:val="22"/>
                              </w:rPr>
                            </w:pPr>
                          </w:p>
                          <w:p w14:paraId="3EA736E9" w14:textId="49C58011" w:rsidR="00934BC3" w:rsidRPr="00934BC3" w:rsidRDefault="00934BC3" w:rsidP="00934BC3">
                            <w:pPr>
                              <w:pStyle w:val="Normal0"/>
                              <w:rPr>
                                <w:rFonts w:ascii="Calibri" w:hAnsi="Calibri" w:cs="Calibri"/>
                                <w:b/>
                                <w:sz w:val="22"/>
                                <w:szCs w:val="22"/>
                              </w:rPr>
                            </w:pPr>
                          </w:p>
                          <w:p w14:paraId="3473FDBA" w14:textId="2FF25200" w:rsidR="00C34A68" w:rsidRPr="00C34A68" w:rsidRDefault="00C34A68" w:rsidP="00C34A68">
                            <w:pPr>
                              <w:pStyle w:val="Normal0"/>
                              <w:rPr>
                                <w:rFonts w:ascii="Calibri" w:hAnsi="Calibri" w:cs="Calibri"/>
                                <w:b/>
                                <w:sz w:val="22"/>
                                <w:szCs w:val="22"/>
                              </w:rPr>
                            </w:pP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6pt;margin-top:32.05pt;width:454.8pt;height:170.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" fillcolor="#c1e4f5 [660]">
                <v:textbox>
                  <w:txbxContent>
                    <w:p w14:paraId="7546DDFA" w14:textId="69E11B1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0378D9">
                        <w:rPr>
                          <w:rFonts w:ascii="Calibri" w:hAnsi="Calibri" w:cs="Calibri"/>
                          <w:b/>
                          <w:sz w:val="22"/>
                          <w:szCs w:val="22"/>
                        </w:rPr>
                        <w:t>27/4/2026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71067C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934BC3">
                        <w:rPr>
                          <w:rFonts w:ascii="Calibri" w:hAnsi="Calibri" w:cs="Calibri"/>
                          <w:b/>
                          <w:sz w:val="22"/>
                          <w:szCs w:val="22"/>
                        </w:rPr>
                        <w:t>17</w:t>
                      </w:r>
                      <w:r w:rsidR="001C33BE">
                        <w:rPr>
                          <w:rFonts w:ascii="Calibri" w:hAnsi="Calibri" w:cs="Calibri"/>
                          <w:b/>
                          <w:sz w:val="22"/>
                          <w:szCs w:val="22"/>
                        </w:rPr>
                        <w:t>4</w:t>
                      </w:r>
                    </w:p>
                    <w:p w14:paraId="458D1D24" w14:textId="32BB580C"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1C33BE">
                        <w:rPr>
                          <w:rFonts w:ascii="Calibri" w:hAnsi="Calibri" w:cs="Calibri"/>
                          <w:b/>
                          <w:sz w:val="22"/>
                          <w:szCs w:val="22"/>
                        </w:rPr>
                        <w:t>The Ship Inn</w:t>
                      </w:r>
                      <w:r w:rsidR="0053182E">
                        <w:rPr>
                          <w:rFonts w:ascii="Calibri" w:hAnsi="Calibri" w:cs="Calibri"/>
                          <w:b/>
                          <w:sz w:val="22"/>
                          <w:szCs w:val="22"/>
                        </w:rPr>
                        <w:t xml:space="preserve"> Langstone </w:t>
                      </w:r>
                      <w:r w:rsidR="001C33BE">
                        <w:rPr>
                          <w:rFonts w:ascii="Calibri" w:hAnsi="Calibri" w:cs="Calibri"/>
                          <w:b/>
                          <w:sz w:val="22"/>
                          <w:szCs w:val="22"/>
                        </w:rPr>
                        <w:t>Road</w:t>
                      </w:r>
                      <w:r w:rsidR="0053182E">
                        <w:rPr>
                          <w:rFonts w:ascii="Calibri" w:hAnsi="Calibri" w:cs="Calibri"/>
                          <w:b/>
                          <w:sz w:val="22"/>
                          <w:szCs w:val="22"/>
                        </w:rPr>
                        <w:t xml:space="preserve">, Havant </w:t>
                      </w:r>
                    </w:p>
                    <w:p w14:paraId="122D52D5" w14:textId="4BDCA7F0"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1C33BE" w:rsidRPr="001C33BE">
                        <w:rPr>
                          <w:rFonts w:ascii="Calibri" w:hAnsi="Calibri" w:cs="Calibri"/>
                          <w:b/>
                          <w:sz w:val="22"/>
                          <w:szCs w:val="22"/>
                        </w:rPr>
                        <w:t>Listed Building Consent application for works to the Ship Inn to include raising and resurfacing of the carpark, provision of a retaining wall and steps to the southern courtyard, provision of replacement boundary wall to courtyard with brick-clad wall and flood glass barrier, provision of flood gate and new concrete footpath and low wall seaward of The Ship Inn Annex.</w:t>
                      </w:r>
                    </w:p>
                    <w:p w14:paraId="30CE3EED" w14:textId="7B8CF1B2" w:rsidR="0027172E" w:rsidRDefault="0027172E" w:rsidP="0027172E">
                      <w:pPr>
                        <w:pStyle w:val="Normal0"/>
                        <w:rPr>
                          <w:rFonts w:ascii="Calibri" w:hAnsi="Calibri" w:cs="Calibri"/>
                          <w:b/>
                          <w:sz w:val="22"/>
                          <w:szCs w:val="22"/>
                        </w:rPr>
                      </w:pPr>
                    </w:p>
                    <w:p w14:paraId="2E571721" w14:textId="33A17220" w:rsidR="0053182E" w:rsidRPr="0053182E" w:rsidRDefault="0053182E" w:rsidP="0053182E">
                      <w:pPr>
                        <w:pStyle w:val="Normal0"/>
                        <w:rPr>
                          <w:rFonts w:ascii="Calibri" w:hAnsi="Calibri" w:cs="Calibri"/>
                          <w:b/>
                          <w:sz w:val="22"/>
                          <w:szCs w:val="22"/>
                        </w:rPr>
                      </w:pPr>
                    </w:p>
                    <w:p w14:paraId="3EA736E9" w14:textId="49C58011" w:rsidR="00934BC3" w:rsidRPr="00934BC3" w:rsidRDefault="00934BC3" w:rsidP="00934BC3">
                      <w:pPr>
                        <w:pStyle w:val="Normal0"/>
                        <w:rPr>
                          <w:rFonts w:ascii="Calibri" w:hAnsi="Calibri" w:cs="Calibri"/>
                          <w:b/>
                          <w:sz w:val="22"/>
                          <w:szCs w:val="22"/>
                        </w:rPr>
                      </w:pPr>
                    </w:p>
                    <w:p w14:paraId="3473FDBA" w14:textId="2FF25200" w:rsidR="00C34A68" w:rsidRPr="00C34A68" w:rsidRDefault="00C34A68" w:rsidP="00C34A68">
                      <w:pPr>
                        <w:pStyle w:val="Normal0"/>
                        <w:rPr>
                          <w:rFonts w:ascii="Calibri" w:hAnsi="Calibri" w:cs="Calibri"/>
                          <w:b/>
                          <w:sz w:val="22"/>
                          <w:szCs w:val="22"/>
                        </w:rPr>
                      </w:pP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9F0020F"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3A488B80" w14:textId="2A0BA133" w:rsidR="008A4829" w:rsidRPr="00F10A8E" w:rsidRDefault="008A4829" w:rsidP="008A4829">
      <w:pPr>
        <w:jc w:val="both"/>
        <w:rPr>
          <w:rFonts w:ascii="Calibri" w:hAnsi="Calibri" w:cs="Calibri"/>
          <w:sz w:val="22"/>
          <w:szCs w:val="22"/>
        </w:rPr>
      </w:pPr>
      <w:r w:rsidRPr="00F10A8E">
        <w:rPr>
          <w:rFonts w:ascii="Calibri" w:hAnsi="Calibri" w:cs="Calibri"/>
          <w:sz w:val="22"/>
          <w:szCs w:val="22"/>
        </w:rPr>
        <w:t xml:space="preserve">The application site is located on Langstone </w:t>
      </w:r>
      <w:r w:rsidR="00983E47" w:rsidRPr="00F10A8E">
        <w:rPr>
          <w:rFonts w:ascii="Calibri" w:hAnsi="Calibri" w:cs="Calibri"/>
          <w:sz w:val="22"/>
          <w:szCs w:val="22"/>
        </w:rPr>
        <w:t xml:space="preserve">Road and comprises The Ship Inn </w:t>
      </w:r>
      <w:r w:rsidR="00CC6918" w:rsidRPr="00F10A8E">
        <w:rPr>
          <w:rFonts w:ascii="Calibri" w:hAnsi="Calibri" w:cs="Calibri"/>
          <w:sz w:val="22"/>
          <w:szCs w:val="22"/>
        </w:rPr>
        <w:t>Public</w:t>
      </w:r>
      <w:r w:rsidR="00983E47" w:rsidRPr="00F10A8E">
        <w:rPr>
          <w:rFonts w:ascii="Calibri" w:hAnsi="Calibri" w:cs="Calibri"/>
          <w:sz w:val="22"/>
          <w:szCs w:val="22"/>
        </w:rPr>
        <w:t xml:space="preserve"> House </w:t>
      </w:r>
      <w:r w:rsidR="00F10A8E" w:rsidRPr="00F10A8E">
        <w:rPr>
          <w:rFonts w:ascii="Calibri" w:hAnsi="Calibri" w:cs="Calibri"/>
          <w:sz w:val="22"/>
          <w:szCs w:val="22"/>
        </w:rPr>
        <w:t xml:space="preserve">which is Grade II listed. </w:t>
      </w:r>
      <w:r w:rsidRPr="00F10A8E">
        <w:rPr>
          <w:rFonts w:ascii="Calibri" w:hAnsi="Calibri" w:cs="Calibri"/>
          <w:sz w:val="22"/>
          <w:szCs w:val="22"/>
        </w:rPr>
        <w:t xml:space="preserve">The listing description from Historic England is included below: </w:t>
      </w:r>
    </w:p>
    <w:p w14:paraId="59761722" w14:textId="6AD0807B" w:rsidR="008A4829" w:rsidRPr="00EA5160" w:rsidRDefault="00EA5160" w:rsidP="008A4829">
      <w:pPr>
        <w:jc w:val="both"/>
        <w:rPr>
          <w:rFonts w:ascii="Calibri" w:hAnsi="Calibri" w:cs="Calibri"/>
          <w:i/>
          <w:iCs/>
          <w:sz w:val="22"/>
          <w:szCs w:val="22"/>
        </w:rPr>
      </w:pPr>
      <w:r w:rsidRPr="00EA5160">
        <w:rPr>
          <w:rFonts w:ascii="Calibri" w:hAnsi="Calibri" w:cs="Calibri"/>
          <w:i/>
          <w:iCs/>
          <w:sz w:val="22"/>
          <w:szCs w:val="22"/>
        </w:rPr>
        <w:t>‘Public house. C18, much restored. Painted brick walls (some stucco) and tiled roof. 2 storeys, 6 windows to the long east elevation. Victorian sashes. ½-glazed mid C19 porch’.</w:t>
      </w:r>
    </w:p>
    <w:p w14:paraId="1AF80CEB" w14:textId="10C776DD" w:rsidR="00C34A68" w:rsidRDefault="008A4829" w:rsidP="008A4829">
      <w:pPr>
        <w:jc w:val="both"/>
        <w:rPr>
          <w:rFonts w:ascii="Calibri" w:hAnsi="Calibri" w:cs="Calibri"/>
          <w:b/>
          <w:bCs/>
          <w:sz w:val="22"/>
          <w:szCs w:val="22"/>
        </w:rPr>
      </w:pPr>
      <w:r w:rsidRPr="00B23319">
        <w:rPr>
          <w:rFonts w:ascii="Calibri" w:hAnsi="Calibri" w:cs="Calibri"/>
          <w:sz w:val="22"/>
          <w:szCs w:val="22"/>
        </w:rPr>
        <w:t>The building</w:t>
      </w:r>
      <w:r w:rsidR="00F10A8E" w:rsidRPr="00B23319">
        <w:rPr>
          <w:rFonts w:ascii="Calibri" w:hAnsi="Calibri" w:cs="Calibri"/>
          <w:sz w:val="22"/>
          <w:szCs w:val="22"/>
        </w:rPr>
        <w:t xml:space="preserve"> is located within </w:t>
      </w:r>
      <w:r w:rsidRPr="00B23319">
        <w:rPr>
          <w:rFonts w:ascii="Calibri" w:hAnsi="Calibri" w:cs="Calibri"/>
          <w:sz w:val="22"/>
          <w:szCs w:val="22"/>
        </w:rPr>
        <w:t>Langstone Conservation Area</w:t>
      </w:r>
      <w:r w:rsidR="001B7D7F">
        <w:rPr>
          <w:rFonts w:ascii="Calibri" w:hAnsi="Calibri" w:cs="Calibri"/>
          <w:sz w:val="22"/>
          <w:szCs w:val="22"/>
        </w:rPr>
        <w:t xml:space="preserve">, along the southeast </w:t>
      </w:r>
      <w:r w:rsidR="00442452">
        <w:rPr>
          <w:rFonts w:ascii="Calibri" w:hAnsi="Calibri" w:cs="Calibri"/>
          <w:sz w:val="22"/>
          <w:szCs w:val="22"/>
        </w:rPr>
        <w:t>Chichester H</w:t>
      </w:r>
      <w:r w:rsidR="001B7D7F">
        <w:rPr>
          <w:rFonts w:ascii="Calibri" w:hAnsi="Calibri" w:cs="Calibri"/>
          <w:sz w:val="22"/>
          <w:szCs w:val="22"/>
        </w:rPr>
        <w:t xml:space="preserve">arbour frontage. </w:t>
      </w:r>
      <w:r w:rsidR="00242E69">
        <w:rPr>
          <w:rFonts w:ascii="Calibri" w:hAnsi="Calibri" w:cs="Calibri"/>
          <w:sz w:val="22"/>
          <w:szCs w:val="22"/>
        </w:rPr>
        <w:t xml:space="preserve">It was originally built as a </w:t>
      </w:r>
      <w:proofErr w:type="gramStart"/>
      <w:r w:rsidR="00242E69">
        <w:rPr>
          <w:rFonts w:ascii="Calibri" w:hAnsi="Calibri" w:cs="Calibri"/>
          <w:sz w:val="22"/>
          <w:szCs w:val="22"/>
        </w:rPr>
        <w:t>malthouse</w:t>
      </w:r>
      <w:r w:rsidR="00EB4A78">
        <w:rPr>
          <w:rFonts w:ascii="Calibri" w:hAnsi="Calibri" w:cs="Calibri"/>
          <w:sz w:val="22"/>
          <w:szCs w:val="22"/>
        </w:rPr>
        <w:t>, but</w:t>
      </w:r>
      <w:proofErr w:type="gramEnd"/>
      <w:r w:rsidR="00EB4A78">
        <w:rPr>
          <w:rFonts w:ascii="Calibri" w:hAnsi="Calibri" w:cs="Calibri"/>
          <w:sz w:val="22"/>
          <w:szCs w:val="22"/>
        </w:rPr>
        <w:t xml:space="preserve"> converted into a public house in the mid C19. </w:t>
      </w:r>
    </w:p>
    <w:p w14:paraId="6F8BE53F" w14:textId="24444FAB"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6493C6AF" w14:textId="77777777" w:rsidR="008A4829" w:rsidRPr="002B0935" w:rsidRDefault="008A4829" w:rsidP="008A4829">
      <w:pPr>
        <w:jc w:val="both"/>
        <w:rPr>
          <w:rFonts w:ascii="Calibri" w:hAnsi="Calibri" w:cs="Calibri"/>
          <w:sz w:val="22"/>
          <w:szCs w:val="22"/>
        </w:rPr>
      </w:pPr>
      <w:r w:rsidRPr="002B0935">
        <w:rPr>
          <w:rFonts w:ascii="Calibri" w:hAnsi="Calibri" w:cs="Calibri"/>
          <w:sz w:val="22"/>
          <w:szCs w:val="22"/>
        </w:rPr>
        <w:t xml:space="preserve">In assessing the proposal, the following legislation and policy framework has been </w:t>
      </w:r>
      <w:proofErr w:type="gramStart"/>
      <w:r w:rsidRPr="002B0935">
        <w:rPr>
          <w:rFonts w:ascii="Calibri" w:hAnsi="Calibri" w:cs="Calibri"/>
          <w:sz w:val="22"/>
          <w:szCs w:val="22"/>
        </w:rPr>
        <w:t>taken into account</w:t>
      </w:r>
      <w:proofErr w:type="gramEnd"/>
      <w:r w:rsidRPr="002B0935">
        <w:rPr>
          <w:rFonts w:ascii="Calibri" w:hAnsi="Calibri" w:cs="Calibri"/>
          <w:sz w:val="22"/>
          <w:szCs w:val="22"/>
        </w:rPr>
        <w:t>:</w:t>
      </w:r>
    </w:p>
    <w:p w14:paraId="143A1A4B" w14:textId="77777777" w:rsidR="008A4829" w:rsidRPr="002B0935" w:rsidRDefault="008A4829" w:rsidP="008A4829">
      <w:pPr>
        <w:jc w:val="both"/>
        <w:rPr>
          <w:rFonts w:ascii="Calibri" w:hAnsi="Calibri" w:cs="Calibri"/>
          <w:sz w:val="22"/>
          <w:szCs w:val="22"/>
        </w:rPr>
      </w:pPr>
      <w:r w:rsidRPr="002B0935">
        <w:rPr>
          <w:rFonts w:ascii="Calibri" w:hAnsi="Calibri" w:cs="Calibri"/>
          <w:sz w:val="22"/>
          <w:szCs w:val="22"/>
        </w:rPr>
        <w:t>Planning (Listed Buildings and Conservation Areas) Act 1990</w:t>
      </w:r>
    </w:p>
    <w:p w14:paraId="3F14F1E9" w14:textId="7BCF83E4" w:rsidR="00B23319" w:rsidRPr="00965C54" w:rsidRDefault="008A4829" w:rsidP="00F956D3">
      <w:pPr>
        <w:numPr>
          <w:ilvl w:val="0"/>
          <w:numId w:val="20"/>
        </w:numPr>
        <w:jc w:val="both"/>
        <w:rPr>
          <w:rFonts w:ascii="Calibri" w:hAnsi="Calibri" w:cs="Calibri"/>
          <w:sz w:val="22"/>
          <w:szCs w:val="22"/>
        </w:rPr>
      </w:pPr>
      <w:r w:rsidRPr="002B0935">
        <w:rPr>
          <w:rFonts w:ascii="Calibri" w:hAnsi="Calibri" w:cs="Calibri"/>
          <w:sz w:val="22"/>
          <w:szCs w:val="22"/>
        </w:rPr>
        <w:t>Section 16 of the Planning (Listed Buildings and Conservation Areas) Act 1990 requires local planning authorities, when considering whether to grant listed building consent, to have special regard to the desirability of preserving the listed building, its setting, and any features of special architectural or historic interest which it possesses.</w:t>
      </w:r>
    </w:p>
    <w:p w14:paraId="17DD080F" w14:textId="071155CB" w:rsidR="002A25D7" w:rsidRPr="00F956D3" w:rsidRDefault="002A25D7" w:rsidP="00F956D3">
      <w:pPr>
        <w:jc w:val="both"/>
        <w:rPr>
          <w:rFonts w:ascii="Calibri" w:hAnsi="Calibri" w:cs="Calibri"/>
          <w:sz w:val="22"/>
          <w:szCs w:val="22"/>
        </w:rPr>
      </w:pPr>
      <w:r w:rsidRPr="00F956D3">
        <w:rPr>
          <w:rFonts w:ascii="Calibri" w:hAnsi="Calibri" w:cs="Calibri"/>
          <w:b/>
          <w:bCs/>
          <w:sz w:val="22"/>
          <w:szCs w:val="22"/>
          <w:u w:val="single"/>
        </w:rPr>
        <w:t xml:space="preserve">National Planning Policy Framework </w:t>
      </w:r>
      <w:r w:rsidR="00B374C1" w:rsidRPr="00F956D3">
        <w:rPr>
          <w:rFonts w:ascii="Calibri" w:hAnsi="Calibri" w:cs="Calibri"/>
          <w:b/>
          <w:bCs/>
          <w:sz w:val="22"/>
          <w:szCs w:val="22"/>
          <w:u w:val="single"/>
        </w:rPr>
        <w:t>(revised</w:t>
      </w:r>
      <w:r w:rsidRPr="00F956D3">
        <w:rPr>
          <w:rFonts w:ascii="Calibri" w:hAnsi="Calibri" w:cs="Calibri"/>
          <w:b/>
          <w:bCs/>
          <w:sz w:val="22"/>
          <w:szCs w:val="22"/>
          <w:u w:val="single"/>
        </w:rPr>
        <w:t xml:space="preserve"> </w:t>
      </w:r>
      <w:r w:rsidR="00FA12C0" w:rsidRPr="00F956D3">
        <w:rPr>
          <w:rFonts w:ascii="Calibri" w:hAnsi="Calibri" w:cs="Calibri"/>
          <w:b/>
          <w:bCs/>
          <w:sz w:val="22"/>
          <w:szCs w:val="22"/>
          <w:u w:val="single"/>
        </w:rPr>
        <w:t>December</w:t>
      </w:r>
      <w:r w:rsidRPr="00F956D3">
        <w:rPr>
          <w:rFonts w:ascii="Calibri" w:hAnsi="Calibri" w:cs="Calibri"/>
          <w:b/>
          <w:bCs/>
          <w:sz w:val="22"/>
          <w:szCs w:val="22"/>
          <w:u w:val="single"/>
        </w:rPr>
        <w:t xml:space="preserve"> 202</w:t>
      </w:r>
      <w:r w:rsidR="00FA12C0" w:rsidRPr="00F956D3">
        <w:rPr>
          <w:rFonts w:ascii="Calibri" w:hAnsi="Calibri" w:cs="Calibri"/>
          <w:b/>
          <w:bCs/>
          <w:sz w:val="22"/>
          <w:szCs w:val="22"/>
          <w:u w:val="single"/>
        </w:rPr>
        <w:t>4</w:t>
      </w:r>
      <w:r w:rsidRPr="00F956D3">
        <w:rPr>
          <w:rFonts w:ascii="Calibri" w:hAnsi="Calibri" w:cs="Calibri"/>
          <w:b/>
          <w:bCs/>
          <w:sz w:val="22"/>
          <w:szCs w:val="22"/>
          <w:u w:val="single"/>
        </w:rPr>
        <w:t>)</w:t>
      </w:r>
    </w:p>
    <w:p w14:paraId="7E853341" w14:textId="77777777" w:rsidR="00EE1032" w:rsidRPr="00B74C5D" w:rsidRDefault="00EE1032" w:rsidP="00EE1032">
      <w:pPr>
        <w:jc w:val="both"/>
        <w:rPr>
          <w:rFonts w:ascii="Calibri" w:hAnsi="Calibri" w:cs="Calibri"/>
          <w:sz w:val="22"/>
          <w:szCs w:val="22"/>
        </w:rPr>
      </w:pPr>
      <w:r w:rsidRPr="00B74C5D">
        <w:rPr>
          <w:rFonts w:ascii="Calibri" w:hAnsi="Calibri" w:cs="Calibri"/>
          <w:sz w:val="22"/>
          <w:szCs w:val="22"/>
        </w:rPr>
        <w:t>Chapter 16 of the National Planning Policy Framework (NPPF) relates to Conserving and Enhancing the Historic Environment (paragraphs 202–221). The following policies are most relevant to the determination of this application:</w:t>
      </w:r>
    </w:p>
    <w:p w14:paraId="570C49AF"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212 states that:</w:t>
      </w:r>
    </w:p>
    <w:p w14:paraId="0D73AF32" w14:textId="77777777" w:rsidR="00EE1032" w:rsidRPr="00B74C5D" w:rsidRDefault="00EE1032" w:rsidP="00EE1032">
      <w:pPr>
        <w:jc w:val="both"/>
        <w:rPr>
          <w:rFonts w:ascii="Calibri" w:hAnsi="Calibri" w:cs="Calibri"/>
          <w:b/>
          <w:bCs/>
          <w:sz w:val="22"/>
          <w:szCs w:val="22"/>
          <w:u w:val="single"/>
        </w:rPr>
      </w:pPr>
      <w:r w:rsidRPr="00B74C5D">
        <w:rPr>
          <w:rFonts w:ascii="Calibri" w:hAnsi="Calibri" w:cs="Calibri"/>
          <w:i/>
          <w:iCs/>
          <w:sz w:val="22"/>
          <w:szCs w:val="22"/>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2A14C4DE"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214 states that:</w:t>
      </w:r>
    </w:p>
    <w:p w14:paraId="79D138DC" w14:textId="77777777" w:rsidR="00EE1032" w:rsidRPr="00B74C5D" w:rsidRDefault="00EE1032" w:rsidP="00EE1032">
      <w:pPr>
        <w:jc w:val="both"/>
        <w:rPr>
          <w:rFonts w:ascii="Calibri" w:hAnsi="Calibri" w:cs="Calibri"/>
          <w:sz w:val="22"/>
          <w:szCs w:val="22"/>
        </w:rPr>
      </w:pPr>
      <w:r w:rsidRPr="00B74C5D">
        <w:rPr>
          <w:rFonts w:ascii="Calibri" w:hAnsi="Calibri" w:cs="Calibri"/>
          <w:i/>
          <w:iCs/>
          <w:sz w:val="22"/>
          <w:szCs w:val="22"/>
        </w:rPr>
        <w:lastRenderedPageBreak/>
        <w:t>“Where a development will lead to substantial harm to, or total loss of, the significance of a designated heritage asset, permission should be refused, unless it can be demonstrated that the harm is necessary to achieve substantial public benefits, or certain specified criteria are met.”</w:t>
      </w:r>
    </w:p>
    <w:p w14:paraId="6A7F434F"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215 states that:</w:t>
      </w:r>
    </w:p>
    <w:p w14:paraId="23445738" w14:textId="12222B5E" w:rsidR="00F956D3" w:rsidRPr="00EE1032" w:rsidRDefault="00EE1032" w:rsidP="00B12D34">
      <w:pPr>
        <w:jc w:val="both"/>
        <w:rPr>
          <w:rFonts w:ascii="Calibri" w:hAnsi="Calibri" w:cs="Calibri"/>
          <w:sz w:val="22"/>
          <w:szCs w:val="22"/>
        </w:rPr>
      </w:pPr>
      <w:r w:rsidRPr="00B74C5D">
        <w:rPr>
          <w:rFonts w:ascii="Calibri" w:hAnsi="Calibri" w:cs="Calibri"/>
          <w:i/>
          <w:iCs/>
          <w:sz w:val="22"/>
          <w:szCs w:val="22"/>
        </w:rPr>
        <w:t>“Where a development proposal will lead to less than substantial harm to the significance of a designated heritage asset, this harm should be weighed against the public benefits of the proposal, including, where appropriate, securing its optimum viable use.”</w:t>
      </w:r>
    </w:p>
    <w:p w14:paraId="2DCC8E94" w14:textId="6F336F5E"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03A46E2D" w14:textId="384B6FFB"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lastRenderedPageBreak/>
        <w:t>1. Describe the significance of the asset and its setting, using appropriate expertise</w:t>
      </w:r>
      <w:r w:rsidR="00D627B4">
        <w:rPr>
          <w:rFonts w:ascii="Calibri" w:hAnsi="Calibri" w:cs="Calibri"/>
          <w:bCs/>
          <w:i/>
          <w:iCs/>
          <w:sz w:val="22"/>
          <w:szCs w:val="22"/>
        </w:rPr>
        <w:t xml:space="preserve"> </w:t>
      </w:r>
      <w:r w:rsidRPr="00493D1E">
        <w:rPr>
          <w:rFonts w:ascii="Calibri" w:hAnsi="Calibri" w:cs="Calibri"/>
          <w:bCs/>
          <w:i/>
          <w:iCs/>
          <w:sz w:val="22"/>
          <w:szCs w:val="22"/>
        </w:rPr>
        <w:t>and where necessary original survey, at a level of detail proportionate to its</w:t>
      </w:r>
      <w:r w:rsidR="00D627B4">
        <w:rPr>
          <w:rFonts w:ascii="Calibri" w:hAnsi="Calibri" w:cs="Calibri"/>
          <w:bCs/>
          <w:i/>
          <w:iCs/>
          <w:sz w:val="22"/>
          <w:szCs w:val="22"/>
        </w:rPr>
        <w:t xml:space="preserve"> </w:t>
      </w: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3A7BB90C" w14:textId="3776E2D8" w:rsidR="00D627B4" w:rsidRDefault="00B374C1" w:rsidP="00D627B4">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r w:rsidR="00D627B4">
        <w:rPr>
          <w:rFonts w:ascii="Calibri" w:hAnsi="Calibri" w:cs="Calibri"/>
          <w:bCs/>
          <w:i/>
          <w:iCs/>
          <w:sz w:val="22"/>
          <w:szCs w:val="22"/>
        </w:rPr>
        <w:t xml:space="preserve"> </w:t>
      </w:r>
      <w:r w:rsidRPr="00493D1E">
        <w:rPr>
          <w:rFonts w:ascii="Calibri" w:hAnsi="Calibri" w:cs="Calibri"/>
          <w:bCs/>
          <w:i/>
          <w:iCs/>
          <w:sz w:val="22"/>
          <w:szCs w:val="22"/>
        </w:rPr>
        <w:t>proportionate to the impact and the significance of the heritage asset, including</w:t>
      </w:r>
      <w:r w:rsidR="00D627B4">
        <w:rPr>
          <w:rFonts w:ascii="Calibri" w:hAnsi="Calibri" w:cs="Calibri"/>
          <w:bCs/>
          <w:i/>
          <w:iCs/>
          <w:sz w:val="22"/>
          <w:szCs w:val="22"/>
        </w:rPr>
        <w:t xml:space="preserve"> </w:t>
      </w:r>
      <w:r w:rsidRPr="00493D1E">
        <w:rPr>
          <w:rFonts w:ascii="Calibri" w:hAnsi="Calibri" w:cs="Calibri"/>
          <w:bCs/>
          <w:i/>
          <w:iCs/>
          <w:sz w:val="22"/>
          <w:szCs w:val="22"/>
        </w:rPr>
        <w:t>where possible positive opportunities to conserve and enjoy heritage assets.</w:t>
      </w:r>
    </w:p>
    <w:p w14:paraId="1C167FC4" w14:textId="77777777" w:rsidR="00D627B4" w:rsidRDefault="00D627B4" w:rsidP="00D627B4">
      <w:pPr>
        <w:autoSpaceDE w:val="0"/>
        <w:autoSpaceDN w:val="0"/>
        <w:adjustRightInd w:val="0"/>
        <w:spacing w:after="0" w:line="240" w:lineRule="auto"/>
        <w:jc w:val="both"/>
        <w:rPr>
          <w:rFonts w:ascii="Calibri" w:hAnsi="Calibri" w:cs="Calibri"/>
          <w:bCs/>
          <w:i/>
          <w:iCs/>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35A68B7" w14:textId="2AA0903E" w:rsidR="008F0842" w:rsidRDefault="008F0842" w:rsidP="008F0842">
      <w:pPr>
        <w:jc w:val="both"/>
        <w:rPr>
          <w:rFonts w:ascii="Calibri" w:hAnsi="Calibri" w:cs="Calibri"/>
          <w:sz w:val="22"/>
          <w:szCs w:val="22"/>
          <w:u w:val="single"/>
        </w:rPr>
      </w:pPr>
      <w:r w:rsidRPr="008F0842">
        <w:rPr>
          <w:rFonts w:ascii="Calibri" w:hAnsi="Calibri" w:cs="Calibri"/>
          <w:sz w:val="22"/>
          <w:szCs w:val="22"/>
          <w:u w:val="single"/>
        </w:rPr>
        <w:t>Scope of the Listed Building Consent</w:t>
      </w:r>
      <w:r w:rsidR="00DF2FB3">
        <w:rPr>
          <w:rFonts w:ascii="Calibri" w:hAnsi="Calibri" w:cs="Calibri"/>
          <w:sz w:val="22"/>
          <w:szCs w:val="22"/>
          <w:u w:val="single"/>
        </w:rPr>
        <w:t xml:space="preserve"> (LBC)</w:t>
      </w:r>
    </w:p>
    <w:p w14:paraId="1B1FD82C" w14:textId="4C2CD9D1" w:rsidR="00C02869" w:rsidRPr="00C02869" w:rsidRDefault="00C02869" w:rsidP="00C02869">
      <w:pPr>
        <w:jc w:val="both"/>
        <w:rPr>
          <w:rFonts w:ascii="Calibri" w:hAnsi="Calibri" w:cs="Calibri"/>
          <w:sz w:val="22"/>
          <w:szCs w:val="22"/>
        </w:rPr>
      </w:pPr>
      <w:r w:rsidRPr="00C02869">
        <w:rPr>
          <w:rFonts w:ascii="Calibri" w:hAnsi="Calibri" w:cs="Calibri"/>
          <w:sz w:val="22"/>
          <w:szCs w:val="22"/>
        </w:rPr>
        <w:t>This Listed Building Consent application relates to works within the curtilage of the Grade II listed Ship Inn, including alterations to the car park and courtyard areas, the replacement and construction of boundary walls and a flood</w:t>
      </w:r>
      <w:r w:rsidRPr="00C02869">
        <w:rPr>
          <w:rFonts w:ascii="Calibri" w:hAnsi="Calibri" w:cs="Calibri"/>
          <w:sz w:val="22"/>
          <w:szCs w:val="22"/>
        </w:rPr>
        <w:noBreakHyphen/>
        <w:t xml:space="preserve">glass </w:t>
      </w:r>
      <w:r>
        <w:rPr>
          <w:rFonts w:ascii="Calibri" w:hAnsi="Calibri" w:cs="Calibri"/>
          <w:sz w:val="22"/>
          <w:szCs w:val="22"/>
        </w:rPr>
        <w:t xml:space="preserve">wall </w:t>
      </w:r>
      <w:r w:rsidRPr="00C02869">
        <w:rPr>
          <w:rFonts w:ascii="Calibri" w:hAnsi="Calibri" w:cs="Calibri"/>
          <w:sz w:val="22"/>
          <w:szCs w:val="22"/>
        </w:rPr>
        <w:t>and the provision of associated access works and flood gates. The application does not seek consent for wider setting impacts beyond the curtilage of the listed building, which are addressed separately under the associated planning application (APP/25/00162).</w:t>
      </w:r>
    </w:p>
    <w:p w14:paraId="129B317C" w14:textId="4CC13D99" w:rsidR="008F0842" w:rsidRDefault="00A05251" w:rsidP="0064516A">
      <w:pPr>
        <w:jc w:val="both"/>
        <w:rPr>
          <w:rFonts w:ascii="Calibri" w:hAnsi="Calibri" w:cs="Calibri"/>
          <w:sz w:val="22"/>
          <w:szCs w:val="22"/>
          <w:u w:val="single"/>
        </w:rPr>
      </w:pPr>
      <w:r w:rsidRPr="00A05251">
        <w:rPr>
          <w:rFonts w:ascii="Calibri" w:hAnsi="Calibri" w:cs="Calibri"/>
          <w:sz w:val="22"/>
          <w:szCs w:val="22"/>
          <w:u w:val="single"/>
        </w:rPr>
        <w:t>Significance of the Listed Building (and Curtilage)</w:t>
      </w:r>
    </w:p>
    <w:p w14:paraId="3FCC255B" w14:textId="71C7FDCD" w:rsidR="00D4122A" w:rsidRPr="00D4122A" w:rsidRDefault="00D4122A" w:rsidP="00D4122A">
      <w:pPr>
        <w:jc w:val="both"/>
        <w:rPr>
          <w:rFonts w:ascii="Calibri" w:hAnsi="Calibri" w:cs="Calibri"/>
          <w:sz w:val="22"/>
          <w:szCs w:val="22"/>
        </w:rPr>
      </w:pPr>
      <w:r w:rsidRPr="00D4122A">
        <w:rPr>
          <w:rFonts w:ascii="Calibri" w:hAnsi="Calibri" w:cs="Calibri"/>
          <w:sz w:val="22"/>
          <w:szCs w:val="22"/>
        </w:rPr>
        <w:t>The Ship Inn is a Grade II listed public house, dating from the 18th century, whose significance derives from its architectural, historic and functional interest. Architecturally, the building is of modest but well</w:t>
      </w:r>
      <w:r w:rsidRPr="00D4122A">
        <w:rPr>
          <w:rFonts w:ascii="Calibri" w:hAnsi="Calibri" w:cs="Calibri"/>
          <w:sz w:val="22"/>
          <w:szCs w:val="22"/>
        </w:rPr>
        <w:noBreakHyphen/>
        <w:t xml:space="preserve">balanced domestic scale, constructed in brick with a tiled roof and arranged over two storeys. The long east elevation, with its regular window rhythm and Victorian sash windows, contributes to the building’s restrained vernacular </w:t>
      </w:r>
      <w:r w:rsidR="008D63B2" w:rsidRPr="00D4122A">
        <w:rPr>
          <w:rFonts w:ascii="Calibri" w:hAnsi="Calibri" w:cs="Calibri"/>
          <w:sz w:val="22"/>
          <w:szCs w:val="22"/>
        </w:rPr>
        <w:t xml:space="preserve">and </w:t>
      </w:r>
      <w:r w:rsidRPr="00D4122A">
        <w:rPr>
          <w:rFonts w:ascii="Calibri" w:hAnsi="Calibri" w:cs="Calibri"/>
          <w:sz w:val="22"/>
          <w:szCs w:val="22"/>
        </w:rPr>
        <w:t>character, while the mid</w:t>
      </w:r>
      <w:r w:rsidRPr="00D4122A">
        <w:rPr>
          <w:rFonts w:ascii="Calibri" w:hAnsi="Calibri" w:cs="Calibri"/>
          <w:sz w:val="22"/>
          <w:szCs w:val="22"/>
        </w:rPr>
        <w:noBreakHyphen/>
        <w:t>19th</w:t>
      </w:r>
      <w:r w:rsidRPr="00D4122A">
        <w:rPr>
          <w:rFonts w:ascii="Calibri" w:hAnsi="Calibri" w:cs="Calibri"/>
          <w:sz w:val="22"/>
          <w:szCs w:val="22"/>
        </w:rPr>
        <w:noBreakHyphen/>
        <w:t>century half</w:t>
      </w:r>
      <w:r w:rsidRPr="00D4122A">
        <w:rPr>
          <w:rFonts w:ascii="Calibri" w:hAnsi="Calibri" w:cs="Calibri"/>
          <w:sz w:val="22"/>
          <w:szCs w:val="22"/>
        </w:rPr>
        <w:noBreakHyphen/>
        <w:t>glazed porch reflects its historic use as a public house</w:t>
      </w:r>
      <w:r w:rsidR="00EF2746">
        <w:rPr>
          <w:rFonts w:ascii="Calibri" w:hAnsi="Calibri" w:cs="Calibri"/>
          <w:sz w:val="22"/>
          <w:szCs w:val="22"/>
        </w:rPr>
        <w:t xml:space="preserve">. </w:t>
      </w:r>
    </w:p>
    <w:p w14:paraId="15C1D985" w14:textId="5734148E" w:rsidR="00D4122A" w:rsidRPr="00D4122A" w:rsidRDefault="00D4122A" w:rsidP="00D4122A">
      <w:pPr>
        <w:jc w:val="both"/>
        <w:rPr>
          <w:rFonts w:ascii="Calibri" w:hAnsi="Calibri" w:cs="Calibri"/>
          <w:sz w:val="22"/>
          <w:szCs w:val="22"/>
        </w:rPr>
      </w:pPr>
      <w:r w:rsidRPr="00D4122A">
        <w:rPr>
          <w:rFonts w:ascii="Calibri" w:hAnsi="Calibri" w:cs="Calibri"/>
          <w:sz w:val="22"/>
          <w:szCs w:val="22"/>
        </w:rPr>
        <w:t>The building’s historic interest is closely tied to its function as a waterfront public house</w:t>
      </w:r>
      <w:r w:rsidR="0039219A">
        <w:rPr>
          <w:rFonts w:ascii="Calibri" w:hAnsi="Calibri" w:cs="Calibri"/>
          <w:sz w:val="22"/>
          <w:szCs w:val="22"/>
        </w:rPr>
        <w:t xml:space="preserve"> (originally a malthouse)</w:t>
      </w:r>
      <w:r w:rsidRPr="00D4122A">
        <w:rPr>
          <w:rFonts w:ascii="Calibri" w:hAnsi="Calibri" w:cs="Calibri"/>
          <w:sz w:val="22"/>
          <w:szCs w:val="22"/>
        </w:rPr>
        <w:t xml:space="preserve">, occupying a prominent position along the </w:t>
      </w:r>
      <w:r w:rsidR="00EF2746">
        <w:rPr>
          <w:rFonts w:ascii="Calibri" w:hAnsi="Calibri" w:cs="Calibri"/>
          <w:sz w:val="22"/>
          <w:szCs w:val="22"/>
        </w:rPr>
        <w:t xml:space="preserve">Chichester Harbour edge. </w:t>
      </w:r>
      <w:r w:rsidRPr="00D4122A">
        <w:rPr>
          <w:rFonts w:ascii="Calibri" w:hAnsi="Calibri" w:cs="Calibri"/>
          <w:sz w:val="22"/>
          <w:szCs w:val="22"/>
        </w:rPr>
        <w:t>Its significance is enhanced by its relationship with the harbour and by the survival of associated external spaces, including the harbour</w:t>
      </w:r>
      <w:r w:rsidRPr="00D4122A">
        <w:rPr>
          <w:rFonts w:ascii="Calibri" w:hAnsi="Calibri" w:cs="Calibri"/>
          <w:sz w:val="22"/>
          <w:szCs w:val="22"/>
        </w:rPr>
        <w:noBreakHyphen/>
        <w:t>side courtyard</w:t>
      </w:r>
      <w:r w:rsidR="00023475">
        <w:rPr>
          <w:rFonts w:ascii="Calibri" w:hAnsi="Calibri" w:cs="Calibri"/>
          <w:sz w:val="22"/>
          <w:szCs w:val="22"/>
        </w:rPr>
        <w:t xml:space="preserve">, which </w:t>
      </w:r>
      <w:r w:rsidRPr="00D4122A">
        <w:rPr>
          <w:rFonts w:ascii="Calibri" w:hAnsi="Calibri" w:cs="Calibri"/>
          <w:sz w:val="22"/>
          <w:szCs w:val="22"/>
        </w:rPr>
        <w:t>form</w:t>
      </w:r>
      <w:r w:rsidR="00023475">
        <w:rPr>
          <w:rFonts w:ascii="Calibri" w:hAnsi="Calibri" w:cs="Calibri"/>
          <w:sz w:val="22"/>
          <w:szCs w:val="22"/>
        </w:rPr>
        <w:t>s</w:t>
      </w:r>
      <w:r w:rsidRPr="00D4122A">
        <w:rPr>
          <w:rFonts w:ascii="Calibri" w:hAnsi="Calibri" w:cs="Calibri"/>
          <w:sz w:val="22"/>
          <w:szCs w:val="22"/>
        </w:rPr>
        <w:t xml:space="preserve"> part of the historic curtilage. These spaces reflect the building’s long</w:t>
      </w:r>
      <w:r w:rsidRPr="00D4122A">
        <w:rPr>
          <w:rFonts w:ascii="Calibri" w:hAnsi="Calibri" w:cs="Calibri"/>
          <w:sz w:val="22"/>
          <w:szCs w:val="22"/>
        </w:rPr>
        <w:noBreakHyphen/>
        <w:t>standing functional relationship with maritime activity and the informal, working character of the harbour edge.</w:t>
      </w:r>
    </w:p>
    <w:p w14:paraId="48C28567" w14:textId="7A63D3D4" w:rsidR="00D4122A" w:rsidRPr="00D4122A" w:rsidRDefault="00D4122A" w:rsidP="00D4122A">
      <w:pPr>
        <w:jc w:val="both"/>
        <w:rPr>
          <w:rFonts w:ascii="Calibri" w:hAnsi="Calibri" w:cs="Calibri"/>
          <w:sz w:val="22"/>
          <w:szCs w:val="22"/>
        </w:rPr>
      </w:pPr>
      <w:r w:rsidRPr="00D4122A">
        <w:rPr>
          <w:rFonts w:ascii="Calibri" w:hAnsi="Calibri" w:cs="Calibri"/>
          <w:sz w:val="22"/>
          <w:szCs w:val="22"/>
        </w:rPr>
        <w:t>The curtilage of the listed building is characterised by simple, utilitarian boundary treatments and open relationships with the water, allowing the building to be experienced as an informal part of the harbour landscape</w:t>
      </w:r>
      <w:r w:rsidR="00EE592F">
        <w:rPr>
          <w:rFonts w:ascii="Calibri" w:hAnsi="Calibri" w:cs="Calibri"/>
          <w:sz w:val="22"/>
          <w:szCs w:val="22"/>
        </w:rPr>
        <w:t xml:space="preserve">. </w:t>
      </w:r>
      <w:r w:rsidRPr="00D4122A">
        <w:rPr>
          <w:rFonts w:ascii="Calibri" w:hAnsi="Calibri" w:cs="Calibri"/>
          <w:sz w:val="22"/>
          <w:szCs w:val="22"/>
        </w:rPr>
        <w:t xml:space="preserve"> </w:t>
      </w:r>
    </w:p>
    <w:p w14:paraId="3881E43C" w14:textId="4DF6C376" w:rsidR="004C04CE" w:rsidRPr="00634799" w:rsidRDefault="00D4122A" w:rsidP="0064516A">
      <w:pPr>
        <w:jc w:val="both"/>
        <w:rPr>
          <w:rFonts w:ascii="Calibri" w:hAnsi="Calibri" w:cs="Calibri"/>
          <w:sz w:val="22"/>
          <w:szCs w:val="22"/>
        </w:rPr>
      </w:pPr>
      <w:r w:rsidRPr="00D4122A">
        <w:rPr>
          <w:rFonts w:ascii="Calibri" w:hAnsi="Calibri" w:cs="Calibri"/>
          <w:sz w:val="22"/>
          <w:szCs w:val="22"/>
        </w:rPr>
        <w:t>Overall, the significance of the Ship Inn lies not only in its architectural form and fabric, but also in its informal relationship with the harbour, its curtilage spaces, and its continued use as a public house, all of which contribute to its special architectural and historic interest.</w:t>
      </w:r>
    </w:p>
    <w:p w14:paraId="4F1737E5" w14:textId="77777777" w:rsidR="000A3ED3" w:rsidRPr="000A3ED3" w:rsidRDefault="000A3ED3" w:rsidP="000A3ED3">
      <w:pPr>
        <w:jc w:val="both"/>
        <w:rPr>
          <w:rFonts w:ascii="Calibri" w:hAnsi="Calibri" w:cs="Calibri"/>
          <w:sz w:val="22"/>
          <w:szCs w:val="22"/>
          <w:u w:val="single"/>
        </w:rPr>
      </w:pPr>
      <w:r w:rsidRPr="000A3ED3">
        <w:rPr>
          <w:rFonts w:ascii="Calibri" w:hAnsi="Calibri" w:cs="Calibri"/>
          <w:sz w:val="22"/>
          <w:szCs w:val="22"/>
          <w:u w:val="single"/>
        </w:rPr>
        <w:t>Description of the Proposed Works</w:t>
      </w:r>
    </w:p>
    <w:p w14:paraId="2BE61930" w14:textId="77777777" w:rsidR="005114AF" w:rsidRPr="005114AF" w:rsidRDefault="005114AF" w:rsidP="005114AF">
      <w:pPr>
        <w:jc w:val="both"/>
        <w:rPr>
          <w:rFonts w:ascii="Calibri" w:hAnsi="Calibri" w:cs="Calibri"/>
          <w:sz w:val="22"/>
          <w:szCs w:val="22"/>
        </w:rPr>
      </w:pPr>
      <w:r w:rsidRPr="005114AF">
        <w:rPr>
          <w:rFonts w:ascii="Calibri" w:hAnsi="Calibri" w:cs="Calibri"/>
          <w:sz w:val="22"/>
          <w:szCs w:val="22"/>
        </w:rPr>
        <w:t>The Listed Building Consent application seeks approval for a series of works within the curtilage of the Grade II listed Ship Inn, intended to facilitate the wider flood defence scheme. The proposed works comprise the following elements:</w:t>
      </w:r>
    </w:p>
    <w:p w14:paraId="35610DC5" w14:textId="3DE0B840" w:rsidR="005114AF" w:rsidRPr="005114AF" w:rsidRDefault="005114AF" w:rsidP="005114AF">
      <w:pPr>
        <w:numPr>
          <w:ilvl w:val="0"/>
          <w:numId w:val="33"/>
        </w:numPr>
        <w:jc w:val="both"/>
        <w:rPr>
          <w:rFonts w:ascii="Calibri" w:hAnsi="Calibri" w:cs="Calibri"/>
          <w:sz w:val="22"/>
          <w:szCs w:val="22"/>
        </w:rPr>
      </w:pPr>
      <w:r w:rsidRPr="005114AF">
        <w:rPr>
          <w:rFonts w:ascii="Calibri" w:hAnsi="Calibri" w:cs="Calibri"/>
          <w:sz w:val="22"/>
          <w:szCs w:val="22"/>
        </w:rPr>
        <w:t>The raising and resurfacing of the existing car park to the rear and seaward side of the listed building, involving changes to levels and surface treatment.</w:t>
      </w:r>
    </w:p>
    <w:p w14:paraId="675A1568" w14:textId="77777777" w:rsidR="005114AF" w:rsidRPr="005114AF" w:rsidRDefault="005114AF" w:rsidP="005114AF">
      <w:pPr>
        <w:numPr>
          <w:ilvl w:val="0"/>
          <w:numId w:val="33"/>
        </w:numPr>
        <w:jc w:val="both"/>
        <w:rPr>
          <w:rFonts w:ascii="Calibri" w:hAnsi="Calibri" w:cs="Calibri"/>
          <w:sz w:val="22"/>
          <w:szCs w:val="22"/>
        </w:rPr>
      </w:pPr>
      <w:r w:rsidRPr="005114AF">
        <w:rPr>
          <w:rFonts w:ascii="Calibri" w:hAnsi="Calibri" w:cs="Calibri"/>
          <w:sz w:val="22"/>
          <w:szCs w:val="22"/>
        </w:rPr>
        <w:lastRenderedPageBreak/>
        <w:t>The construction of a retaining wall and associated access steps to the southern courtyard area, introducing new built structures to manage level changes between the courtyard and adjoining areas.</w:t>
      </w:r>
    </w:p>
    <w:p w14:paraId="05F424A1" w14:textId="1AFA1B0E" w:rsidR="005114AF" w:rsidRPr="005114AF" w:rsidRDefault="005114AF" w:rsidP="005114AF">
      <w:pPr>
        <w:numPr>
          <w:ilvl w:val="0"/>
          <w:numId w:val="33"/>
        </w:numPr>
        <w:jc w:val="both"/>
        <w:rPr>
          <w:rFonts w:ascii="Calibri" w:hAnsi="Calibri" w:cs="Calibri"/>
          <w:sz w:val="22"/>
          <w:szCs w:val="22"/>
        </w:rPr>
      </w:pPr>
      <w:r w:rsidRPr="005114AF">
        <w:rPr>
          <w:rFonts w:ascii="Calibri" w:hAnsi="Calibri" w:cs="Calibri"/>
          <w:sz w:val="22"/>
          <w:szCs w:val="22"/>
        </w:rPr>
        <w:t>The replacement of the existing courtyard boundary wall with a new brick</w:t>
      </w:r>
      <w:r w:rsidRPr="005114AF">
        <w:rPr>
          <w:rFonts w:ascii="Calibri" w:hAnsi="Calibri" w:cs="Calibri"/>
          <w:sz w:val="22"/>
          <w:szCs w:val="22"/>
        </w:rPr>
        <w:noBreakHyphen/>
        <w:t>clad wall, incorporating a flood</w:t>
      </w:r>
      <w:r w:rsidRPr="005114AF">
        <w:rPr>
          <w:rFonts w:ascii="Calibri" w:hAnsi="Calibri" w:cs="Calibri"/>
          <w:sz w:val="22"/>
          <w:szCs w:val="22"/>
        </w:rPr>
        <w:noBreakHyphen/>
        <w:t>glass barrier above, forming a more defined flood defence along this edge of the curtilage.</w:t>
      </w:r>
      <w:r w:rsidR="00F82725" w:rsidRPr="00CD28D9">
        <w:rPr>
          <w:rFonts w:ascii="Calibri" w:hAnsi="Calibri" w:cs="Calibri"/>
          <w:sz w:val="22"/>
          <w:szCs w:val="22"/>
        </w:rPr>
        <w:t xml:space="preserve"> </w:t>
      </w:r>
    </w:p>
    <w:p w14:paraId="022DF2E8" w14:textId="77777777" w:rsidR="005114AF" w:rsidRPr="005114AF" w:rsidRDefault="005114AF" w:rsidP="005114AF">
      <w:pPr>
        <w:numPr>
          <w:ilvl w:val="0"/>
          <w:numId w:val="33"/>
        </w:numPr>
        <w:jc w:val="both"/>
        <w:rPr>
          <w:rFonts w:ascii="Calibri" w:hAnsi="Calibri" w:cs="Calibri"/>
          <w:sz w:val="22"/>
          <w:szCs w:val="22"/>
        </w:rPr>
      </w:pPr>
      <w:r w:rsidRPr="005114AF">
        <w:rPr>
          <w:rFonts w:ascii="Calibri" w:hAnsi="Calibri" w:cs="Calibri"/>
          <w:sz w:val="22"/>
          <w:szCs w:val="22"/>
        </w:rPr>
        <w:t>The installation of a flood gate within the boundary treatment to provide controlled access while maintaining flood protection.</w:t>
      </w:r>
    </w:p>
    <w:p w14:paraId="37CC6D86" w14:textId="77777777" w:rsidR="005114AF" w:rsidRPr="005114AF" w:rsidRDefault="005114AF" w:rsidP="005114AF">
      <w:pPr>
        <w:numPr>
          <w:ilvl w:val="0"/>
          <w:numId w:val="33"/>
        </w:numPr>
        <w:jc w:val="both"/>
        <w:rPr>
          <w:rFonts w:ascii="Calibri" w:hAnsi="Calibri" w:cs="Calibri"/>
          <w:sz w:val="22"/>
          <w:szCs w:val="22"/>
        </w:rPr>
      </w:pPr>
      <w:r w:rsidRPr="005114AF">
        <w:rPr>
          <w:rFonts w:ascii="Calibri" w:hAnsi="Calibri" w:cs="Calibri"/>
          <w:sz w:val="22"/>
          <w:szCs w:val="22"/>
        </w:rPr>
        <w:t>The provision of a new concrete footpath and low wall along the seaward side of the Ship Inn Annexe, forming part of the flood defence alignment adjacent to the listed building’s curtilage.</w:t>
      </w:r>
    </w:p>
    <w:p w14:paraId="38926CD9" w14:textId="62688A33" w:rsidR="005114AF" w:rsidRPr="005114AF" w:rsidRDefault="005114AF" w:rsidP="005114AF">
      <w:pPr>
        <w:jc w:val="both"/>
        <w:rPr>
          <w:rFonts w:ascii="Calibri" w:hAnsi="Calibri" w:cs="Calibri"/>
          <w:sz w:val="22"/>
          <w:szCs w:val="22"/>
        </w:rPr>
      </w:pPr>
      <w:r w:rsidRPr="005114AF">
        <w:rPr>
          <w:rFonts w:ascii="Calibri" w:hAnsi="Calibri" w:cs="Calibri"/>
          <w:sz w:val="22"/>
          <w:szCs w:val="22"/>
        </w:rPr>
        <w:t xml:space="preserve">The proposed works would not involve alterations to the principal fabric of the listed building </w:t>
      </w:r>
      <w:r w:rsidR="00F82725" w:rsidRPr="005114AF">
        <w:rPr>
          <w:rFonts w:ascii="Calibri" w:hAnsi="Calibri" w:cs="Calibri"/>
          <w:sz w:val="22"/>
          <w:szCs w:val="22"/>
        </w:rPr>
        <w:t>itself but</w:t>
      </w:r>
      <w:r w:rsidRPr="005114AF">
        <w:rPr>
          <w:rFonts w:ascii="Calibri" w:hAnsi="Calibri" w:cs="Calibri"/>
          <w:sz w:val="22"/>
          <w:szCs w:val="22"/>
        </w:rPr>
        <w:t xml:space="preserve"> would introduce new structures and boundary treatments within its curtilage, altering the arrangement, appearance and character of the external spaces associated with the Ship Inn.</w:t>
      </w:r>
    </w:p>
    <w:p w14:paraId="1380F92B" w14:textId="3565E04B" w:rsidR="00F53E75" w:rsidRDefault="00F53E75" w:rsidP="00F53E75">
      <w:pPr>
        <w:jc w:val="both"/>
        <w:rPr>
          <w:rFonts w:ascii="Calibri" w:hAnsi="Calibri" w:cs="Calibri"/>
          <w:sz w:val="22"/>
          <w:szCs w:val="22"/>
          <w:u w:val="single"/>
        </w:rPr>
      </w:pPr>
      <w:r w:rsidRPr="00F53E75">
        <w:rPr>
          <w:rFonts w:ascii="Calibri" w:hAnsi="Calibri" w:cs="Calibri"/>
          <w:sz w:val="22"/>
          <w:szCs w:val="22"/>
          <w:u w:val="single"/>
        </w:rPr>
        <w:t>Assessment of Impact on the Listed Building</w:t>
      </w:r>
    </w:p>
    <w:p w14:paraId="1A7CA3D5" w14:textId="7A56A502" w:rsidR="00A748ED" w:rsidRPr="00A748ED" w:rsidRDefault="00A748ED" w:rsidP="00A748ED">
      <w:pPr>
        <w:jc w:val="both"/>
        <w:rPr>
          <w:rFonts w:ascii="Calibri" w:hAnsi="Calibri" w:cs="Calibri"/>
          <w:sz w:val="22"/>
          <w:szCs w:val="22"/>
        </w:rPr>
      </w:pPr>
      <w:r w:rsidRPr="00A748ED">
        <w:rPr>
          <w:rFonts w:ascii="Calibri" w:hAnsi="Calibri" w:cs="Calibri"/>
          <w:sz w:val="22"/>
          <w:szCs w:val="22"/>
        </w:rPr>
        <w:t>The principal consideration for this Listed Building Consent is whether the proposed works</w:t>
      </w:r>
      <w:r w:rsidR="00322E4F">
        <w:rPr>
          <w:rFonts w:ascii="Calibri" w:hAnsi="Calibri" w:cs="Calibri"/>
          <w:sz w:val="22"/>
          <w:szCs w:val="22"/>
        </w:rPr>
        <w:t xml:space="preserve"> to </w:t>
      </w:r>
      <w:r w:rsidRPr="00A748ED">
        <w:rPr>
          <w:rFonts w:ascii="Calibri" w:hAnsi="Calibri" w:cs="Calibri"/>
          <w:sz w:val="22"/>
          <w:szCs w:val="22"/>
        </w:rPr>
        <w:t>the curtilage of the Ship Inn would affect the special architectural and historic interest of the listed building.</w:t>
      </w:r>
    </w:p>
    <w:p w14:paraId="3AA5EDC2" w14:textId="6C169045" w:rsidR="00A748ED" w:rsidRPr="00A748ED" w:rsidRDefault="00A748ED" w:rsidP="00A748ED">
      <w:pPr>
        <w:jc w:val="both"/>
        <w:rPr>
          <w:rFonts w:ascii="Calibri" w:hAnsi="Calibri" w:cs="Calibri"/>
          <w:sz w:val="22"/>
          <w:szCs w:val="22"/>
        </w:rPr>
      </w:pPr>
      <w:r w:rsidRPr="00A748ED">
        <w:rPr>
          <w:rFonts w:ascii="Calibri" w:hAnsi="Calibri" w:cs="Calibri"/>
          <w:sz w:val="22"/>
          <w:szCs w:val="22"/>
        </w:rPr>
        <w:t xml:space="preserve">The application proposes </w:t>
      </w:r>
      <w:proofErr w:type="gramStart"/>
      <w:r w:rsidRPr="00A748ED">
        <w:rPr>
          <w:rFonts w:ascii="Calibri" w:hAnsi="Calibri" w:cs="Calibri"/>
          <w:sz w:val="22"/>
          <w:szCs w:val="22"/>
        </w:rPr>
        <w:t>a number of</w:t>
      </w:r>
      <w:proofErr w:type="gramEnd"/>
      <w:r w:rsidRPr="00A748ED">
        <w:rPr>
          <w:rFonts w:ascii="Calibri" w:hAnsi="Calibri" w:cs="Calibri"/>
          <w:sz w:val="22"/>
          <w:szCs w:val="22"/>
        </w:rPr>
        <w:t xml:space="preserve"> alterations to the external spaces associated with the public house, including works to the car park, courtyard</w:t>
      </w:r>
      <w:r w:rsidR="006B2A39" w:rsidRPr="006B2A39">
        <w:rPr>
          <w:rFonts w:ascii="Calibri" w:hAnsi="Calibri" w:cs="Calibri"/>
          <w:sz w:val="22"/>
          <w:szCs w:val="22"/>
        </w:rPr>
        <w:t>/pub garden</w:t>
      </w:r>
      <w:r w:rsidRPr="00A748ED">
        <w:rPr>
          <w:rFonts w:ascii="Calibri" w:hAnsi="Calibri" w:cs="Calibri"/>
          <w:sz w:val="22"/>
          <w:szCs w:val="22"/>
        </w:rPr>
        <w:t>, boundary treatments and areas adjacent to the Ship Inn Annexe. While these areas do not form part of the built fabric of the listed building itself, they comprise an important part of its historic curtilage and contribute to how the building is experienced in relation to the harbour.</w:t>
      </w:r>
    </w:p>
    <w:p w14:paraId="0A9EFAFB" w14:textId="77777777" w:rsidR="00A748ED" w:rsidRPr="00A748ED" w:rsidRDefault="00A748ED" w:rsidP="00A748ED">
      <w:pPr>
        <w:jc w:val="both"/>
        <w:rPr>
          <w:rFonts w:ascii="Calibri" w:hAnsi="Calibri" w:cs="Calibri"/>
          <w:sz w:val="22"/>
          <w:szCs w:val="22"/>
        </w:rPr>
      </w:pPr>
      <w:r w:rsidRPr="00A748ED">
        <w:rPr>
          <w:rFonts w:ascii="Calibri" w:hAnsi="Calibri" w:cs="Calibri"/>
          <w:sz w:val="22"/>
          <w:szCs w:val="22"/>
        </w:rPr>
        <w:t>The raising and resurfacing of the car park would introduce changes to levels and surface treatment within the curtilage. While this would alter its appearance, the car park would remain a functional ancillary space associated with the public house and, subject to careful control of materials and detailing, this element of the proposal would have a limited impact on the significance of the listed building.</w:t>
      </w:r>
    </w:p>
    <w:p w14:paraId="100F17F3" w14:textId="31C3D838" w:rsidR="00A748ED" w:rsidRPr="00A748ED" w:rsidRDefault="00A748ED" w:rsidP="00A748ED">
      <w:pPr>
        <w:jc w:val="both"/>
        <w:rPr>
          <w:rFonts w:ascii="Calibri" w:hAnsi="Calibri" w:cs="Calibri"/>
          <w:sz w:val="22"/>
          <w:szCs w:val="22"/>
        </w:rPr>
      </w:pPr>
      <w:r w:rsidRPr="00A748ED">
        <w:rPr>
          <w:rFonts w:ascii="Calibri" w:hAnsi="Calibri" w:cs="Calibri"/>
          <w:sz w:val="22"/>
          <w:szCs w:val="22"/>
        </w:rPr>
        <w:t xml:space="preserve">The proposals also include the construction of a new low wall, flood gate and concrete footpath along the seaward side of the Ship Inn Annexe. Although the annexe is subsidiary in scale and </w:t>
      </w:r>
      <w:r w:rsidR="006B2A39" w:rsidRPr="00DA0820">
        <w:rPr>
          <w:rFonts w:ascii="Calibri" w:hAnsi="Calibri" w:cs="Calibri"/>
          <w:sz w:val="22"/>
          <w:szCs w:val="22"/>
        </w:rPr>
        <w:t xml:space="preserve">differs in architectural style, to the main </w:t>
      </w:r>
      <w:r w:rsidRPr="00A748ED">
        <w:rPr>
          <w:rFonts w:ascii="Calibri" w:hAnsi="Calibri" w:cs="Calibri"/>
          <w:sz w:val="22"/>
          <w:szCs w:val="22"/>
        </w:rPr>
        <w:t>listed building, the harbour</w:t>
      </w:r>
      <w:r w:rsidRPr="00A748ED">
        <w:rPr>
          <w:rFonts w:ascii="Calibri" w:hAnsi="Calibri" w:cs="Calibri"/>
          <w:sz w:val="22"/>
          <w:szCs w:val="22"/>
        </w:rPr>
        <w:noBreakHyphen/>
        <w:t>side space in this location contributes to the wider experience of the Ship Inn as a waterfront public house. The introduction of a low wall and flood gate would introduce a more engineered character along part of the curtilage. However, the wall would remain low in height, would not obstruct views of the principal listed building, and would not involve intervention into historic fabric. The visual and functional relationship between the Ship Inn and its annexe would remain legible.</w:t>
      </w:r>
    </w:p>
    <w:p w14:paraId="2E167190" w14:textId="2E034CDB" w:rsidR="00A748ED" w:rsidRPr="00A748ED" w:rsidRDefault="00A748ED" w:rsidP="00A748ED">
      <w:pPr>
        <w:jc w:val="both"/>
        <w:rPr>
          <w:rFonts w:ascii="Calibri" w:hAnsi="Calibri" w:cs="Calibri"/>
          <w:sz w:val="22"/>
          <w:szCs w:val="22"/>
        </w:rPr>
      </w:pPr>
      <w:r w:rsidRPr="00A748ED">
        <w:rPr>
          <w:rFonts w:ascii="Calibri" w:hAnsi="Calibri" w:cs="Calibri"/>
          <w:sz w:val="22"/>
          <w:szCs w:val="22"/>
        </w:rPr>
        <w:t>The construction of a retaining wall and steps within the southern courtyard, together with the replacement of the existing boundary wall, would result in a more noticeable change. The existing boundary is modest in scale and utilitarian in character, reflecting the incremental nature of the harbour edge. Its replacement with a new brick</w:t>
      </w:r>
      <w:r w:rsidRPr="00A748ED">
        <w:rPr>
          <w:rFonts w:ascii="Calibri" w:hAnsi="Calibri" w:cs="Calibri"/>
          <w:sz w:val="22"/>
          <w:szCs w:val="22"/>
        </w:rPr>
        <w:noBreakHyphen/>
        <w:t>clad wall incorporating a flood</w:t>
      </w:r>
      <w:r w:rsidRPr="00A748ED">
        <w:rPr>
          <w:rFonts w:ascii="Calibri" w:hAnsi="Calibri" w:cs="Calibri"/>
          <w:sz w:val="22"/>
          <w:szCs w:val="22"/>
        </w:rPr>
        <w:noBreakHyphen/>
        <w:t xml:space="preserve">glass barrier would </w:t>
      </w:r>
      <w:r w:rsidRPr="00A748ED">
        <w:rPr>
          <w:rFonts w:ascii="Calibri" w:hAnsi="Calibri" w:cs="Calibri"/>
          <w:sz w:val="22"/>
          <w:szCs w:val="22"/>
        </w:rPr>
        <w:lastRenderedPageBreak/>
        <w:t>introduce a taller and more visually prominent feature within the curtilage, altering the relationship between the public house, its courtyard spaces and the harbour.</w:t>
      </w:r>
    </w:p>
    <w:p w14:paraId="2E0F6234" w14:textId="77777777" w:rsidR="00A748ED" w:rsidRPr="00A748ED" w:rsidRDefault="00A748ED" w:rsidP="00A748ED">
      <w:pPr>
        <w:jc w:val="both"/>
        <w:rPr>
          <w:rFonts w:ascii="Calibri" w:hAnsi="Calibri" w:cs="Calibri"/>
          <w:sz w:val="22"/>
          <w:szCs w:val="22"/>
        </w:rPr>
      </w:pPr>
      <w:r w:rsidRPr="00A748ED">
        <w:rPr>
          <w:rFonts w:ascii="Calibri" w:hAnsi="Calibri" w:cs="Calibri"/>
          <w:sz w:val="22"/>
          <w:szCs w:val="22"/>
        </w:rPr>
        <w:t>Taken together, the cumulative effect of the new boundary walls, flood</w:t>
      </w:r>
      <w:r w:rsidRPr="00A748ED">
        <w:rPr>
          <w:rFonts w:ascii="Calibri" w:hAnsi="Calibri" w:cs="Calibri"/>
          <w:sz w:val="22"/>
          <w:szCs w:val="22"/>
        </w:rPr>
        <w:noBreakHyphen/>
        <w:t>glass barrier, retaining structures and associated access works would further formalise the harbour</w:t>
      </w:r>
      <w:r w:rsidRPr="00A748ED">
        <w:rPr>
          <w:rFonts w:ascii="Calibri" w:hAnsi="Calibri" w:cs="Calibri"/>
          <w:sz w:val="22"/>
          <w:szCs w:val="22"/>
        </w:rPr>
        <w:noBreakHyphen/>
        <w:t>side edge of the curtilage, changing its character from one that is informal and permeable to one that is more clearly defined and defensive in appearance.</w:t>
      </w:r>
    </w:p>
    <w:p w14:paraId="248DD538" w14:textId="0CF3CE12" w:rsidR="00A748ED" w:rsidRPr="00D60332" w:rsidRDefault="00A748ED" w:rsidP="00F53E75">
      <w:pPr>
        <w:jc w:val="both"/>
        <w:rPr>
          <w:rFonts w:ascii="Calibri" w:hAnsi="Calibri" w:cs="Calibri"/>
          <w:sz w:val="22"/>
          <w:szCs w:val="22"/>
        </w:rPr>
      </w:pPr>
      <w:r w:rsidRPr="00A748ED">
        <w:rPr>
          <w:rFonts w:ascii="Calibri" w:hAnsi="Calibri" w:cs="Calibri"/>
          <w:sz w:val="22"/>
          <w:szCs w:val="22"/>
        </w:rPr>
        <w:t>Importantly, the proposals would not involve alterations to the principal elevations of the listed building, would not result in the loss of historic building fabric, and would not compromise the ability to understand or appreciate the Ship Inn as an historic public house. However, they would alter the character and appearance of the listed building’s curtilage, affecting how the building is experienced in its immediate harbour</w:t>
      </w:r>
      <w:r w:rsidRPr="00A748ED">
        <w:rPr>
          <w:rFonts w:ascii="Calibri" w:hAnsi="Calibri" w:cs="Calibri"/>
          <w:sz w:val="22"/>
          <w:szCs w:val="22"/>
        </w:rPr>
        <w:noBreakHyphen/>
        <w:t>side context.</w:t>
      </w:r>
    </w:p>
    <w:p w14:paraId="49601CE4" w14:textId="77777777" w:rsidR="00820548" w:rsidRPr="00820548" w:rsidRDefault="00820548" w:rsidP="00820548">
      <w:pPr>
        <w:jc w:val="both"/>
        <w:rPr>
          <w:rFonts w:ascii="Calibri" w:hAnsi="Calibri" w:cs="Calibri"/>
          <w:sz w:val="22"/>
          <w:szCs w:val="22"/>
          <w:u w:val="single"/>
        </w:rPr>
      </w:pPr>
      <w:r w:rsidRPr="00820548">
        <w:rPr>
          <w:rFonts w:ascii="Calibri" w:hAnsi="Calibri" w:cs="Calibri"/>
          <w:sz w:val="22"/>
          <w:szCs w:val="22"/>
          <w:u w:val="single"/>
        </w:rPr>
        <w:t>Level of Harm</w:t>
      </w:r>
    </w:p>
    <w:p w14:paraId="61EC8ED8" w14:textId="5022D09F" w:rsidR="002B6D19" w:rsidRPr="002B6D19" w:rsidRDefault="002B6D19" w:rsidP="002B6D19">
      <w:pPr>
        <w:jc w:val="both"/>
        <w:rPr>
          <w:rFonts w:ascii="Calibri" w:hAnsi="Calibri" w:cs="Calibri"/>
          <w:color w:val="0B0C0C"/>
          <w:sz w:val="22"/>
          <w:szCs w:val="22"/>
          <w:shd w:val="clear" w:color="auto" w:fill="FFFFFF"/>
        </w:rPr>
      </w:pPr>
      <w:r w:rsidRPr="002B6D19">
        <w:rPr>
          <w:rFonts w:ascii="Calibri" w:hAnsi="Calibri" w:cs="Calibri"/>
          <w:color w:val="0B0C0C"/>
          <w:sz w:val="22"/>
          <w:szCs w:val="22"/>
          <w:shd w:val="clear" w:color="auto" w:fill="FFFFFF"/>
        </w:rPr>
        <w:t xml:space="preserve">It is considered that the proposals would result in a low level of less than substantial harm to the significance of the Ship Inn. </w:t>
      </w:r>
      <w:proofErr w:type="gramStart"/>
      <w:r w:rsidRPr="002B6D19">
        <w:rPr>
          <w:rFonts w:ascii="Calibri" w:hAnsi="Calibri" w:cs="Calibri"/>
          <w:color w:val="0B0C0C"/>
          <w:sz w:val="22"/>
          <w:szCs w:val="22"/>
          <w:shd w:val="clear" w:color="auto" w:fill="FFFFFF"/>
        </w:rPr>
        <w:t>The majority of</w:t>
      </w:r>
      <w:proofErr w:type="gramEnd"/>
      <w:r w:rsidRPr="002B6D19">
        <w:rPr>
          <w:rFonts w:ascii="Calibri" w:hAnsi="Calibri" w:cs="Calibri"/>
          <w:color w:val="0B0C0C"/>
          <w:sz w:val="22"/>
          <w:szCs w:val="22"/>
          <w:shd w:val="clear" w:color="auto" w:fill="FFFFFF"/>
        </w:rPr>
        <w:t xml:space="preserve"> the works within the curtilage, including the raising and resurfacing of the car park, the provision of new access steps and retaining structures, and the brick cladding of the existing quay wall, would primarily affect the functionality and appearance of ancillary spaces. The replacement of the faded breeze</w:t>
      </w:r>
      <w:r w:rsidRPr="002B6D19">
        <w:rPr>
          <w:rFonts w:ascii="Calibri" w:hAnsi="Calibri" w:cs="Calibri"/>
          <w:color w:val="0B0C0C"/>
          <w:sz w:val="22"/>
          <w:szCs w:val="22"/>
          <w:shd w:val="clear" w:color="auto" w:fill="FFFFFF"/>
        </w:rPr>
        <w:noBreakHyphen/>
        <w:t xml:space="preserve">block finish with </w:t>
      </w:r>
      <w:r w:rsidR="003F6D58">
        <w:rPr>
          <w:rFonts w:ascii="Calibri" w:hAnsi="Calibri" w:cs="Calibri"/>
          <w:color w:val="0B0C0C"/>
          <w:sz w:val="22"/>
          <w:szCs w:val="22"/>
          <w:shd w:val="clear" w:color="auto" w:fill="FFFFFF"/>
        </w:rPr>
        <w:t xml:space="preserve">new red </w:t>
      </w:r>
      <w:r w:rsidRPr="002B6D19">
        <w:rPr>
          <w:rFonts w:ascii="Calibri" w:hAnsi="Calibri" w:cs="Calibri"/>
          <w:color w:val="0B0C0C"/>
          <w:sz w:val="22"/>
          <w:szCs w:val="22"/>
          <w:shd w:val="clear" w:color="auto" w:fill="FFFFFF"/>
        </w:rPr>
        <w:t>brick cladding would not in itself be harmful</w:t>
      </w:r>
      <w:r w:rsidR="003F6D58">
        <w:rPr>
          <w:rFonts w:ascii="Calibri" w:hAnsi="Calibri" w:cs="Calibri"/>
          <w:color w:val="0B0C0C"/>
          <w:sz w:val="22"/>
          <w:szCs w:val="22"/>
          <w:shd w:val="clear" w:color="auto" w:fill="FFFFFF"/>
        </w:rPr>
        <w:t>, given it matches with the character of the quay wall</w:t>
      </w:r>
      <w:r w:rsidR="007E6874">
        <w:rPr>
          <w:rFonts w:ascii="Calibri" w:hAnsi="Calibri" w:cs="Calibri"/>
          <w:color w:val="0B0C0C"/>
          <w:sz w:val="22"/>
          <w:szCs w:val="22"/>
          <w:shd w:val="clear" w:color="auto" w:fill="FFFFFF"/>
        </w:rPr>
        <w:t xml:space="preserve">, </w:t>
      </w:r>
      <w:r w:rsidRPr="002B6D19">
        <w:rPr>
          <w:rFonts w:ascii="Calibri" w:hAnsi="Calibri" w:cs="Calibri"/>
          <w:color w:val="0B0C0C"/>
          <w:sz w:val="22"/>
          <w:szCs w:val="22"/>
          <w:shd w:val="clear" w:color="auto" w:fill="FFFFFF"/>
        </w:rPr>
        <w:t>and would represent a change in material rather than a fundamental alteration to the established boundary.</w:t>
      </w:r>
    </w:p>
    <w:p w14:paraId="4B30F27F" w14:textId="72434C86" w:rsidR="002B6D19" w:rsidRPr="002B6D19" w:rsidRDefault="002B6D19" w:rsidP="002B6D19">
      <w:pPr>
        <w:jc w:val="both"/>
        <w:rPr>
          <w:rFonts w:ascii="Calibri" w:hAnsi="Calibri" w:cs="Calibri"/>
          <w:color w:val="0B0C0C"/>
          <w:sz w:val="22"/>
          <w:szCs w:val="22"/>
          <w:shd w:val="clear" w:color="auto" w:fill="FFFFFF"/>
        </w:rPr>
      </w:pPr>
      <w:r w:rsidRPr="002B6D19">
        <w:rPr>
          <w:rFonts w:ascii="Calibri" w:hAnsi="Calibri" w:cs="Calibri"/>
          <w:color w:val="0B0C0C"/>
          <w:sz w:val="22"/>
          <w:szCs w:val="22"/>
          <w:shd w:val="clear" w:color="auto" w:fill="FFFFFF"/>
        </w:rPr>
        <w:t>The principal source of heritage harm arises from the introduction of the flood</w:t>
      </w:r>
      <w:r w:rsidRPr="002B6D19">
        <w:rPr>
          <w:rFonts w:ascii="Calibri" w:hAnsi="Calibri" w:cs="Calibri"/>
          <w:color w:val="0B0C0C"/>
          <w:sz w:val="22"/>
          <w:szCs w:val="22"/>
          <w:shd w:val="clear" w:color="auto" w:fill="FFFFFF"/>
        </w:rPr>
        <w:noBreakHyphen/>
        <w:t>glass barrier above the boundary wall, which would introduce a distinctly modern and visually prominent element into the curtilage of the historic public house. While the existing quay wall already defines the edge of the pub garden and restricts access to the harbour, the addition of the glass barrier would increase the perceived height and formality of the boundary and would alter the informal</w:t>
      </w:r>
      <w:r w:rsidR="007E6874">
        <w:rPr>
          <w:rFonts w:ascii="Calibri" w:hAnsi="Calibri" w:cs="Calibri"/>
          <w:color w:val="0B0C0C"/>
          <w:sz w:val="22"/>
          <w:szCs w:val="22"/>
          <w:shd w:val="clear" w:color="auto" w:fill="FFFFFF"/>
        </w:rPr>
        <w:t xml:space="preserve"> </w:t>
      </w:r>
      <w:r w:rsidRPr="002B6D19">
        <w:rPr>
          <w:rFonts w:ascii="Calibri" w:hAnsi="Calibri" w:cs="Calibri"/>
          <w:color w:val="0B0C0C"/>
          <w:sz w:val="22"/>
          <w:szCs w:val="22"/>
          <w:shd w:val="clear" w:color="auto" w:fill="FFFFFF"/>
        </w:rPr>
        <w:t>character of this part of the curtilage.</w:t>
      </w:r>
      <w:r w:rsidR="0004185C" w:rsidRPr="0004185C">
        <w:rPr>
          <w:rFonts w:ascii="Calibri" w:hAnsi="Calibri" w:cs="Calibri"/>
          <w:color w:val="0B0C0C"/>
          <w:sz w:val="22"/>
          <w:szCs w:val="22"/>
          <w:shd w:val="clear" w:color="auto" w:fill="FFFFFF"/>
        </w:rPr>
        <w:t xml:space="preserve"> </w:t>
      </w:r>
      <w:r w:rsidR="0004185C">
        <w:rPr>
          <w:rFonts w:ascii="Calibri" w:hAnsi="Calibri" w:cs="Calibri"/>
          <w:color w:val="0B0C0C"/>
          <w:sz w:val="22"/>
          <w:szCs w:val="22"/>
          <w:shd w:val="clear" w:color="auto" w:fill="FFFFFF"/>
        </w:rPr>
        <w:t>Nonetheless, the selection of glass as the principal material compared to a concrete wall moderates this harm by providing a less visually intrusive design option compared to alternatives such as a concrete wall.</w:t>
      </w:r>
    </w:p>
    <w:p w14:paraId="2FD3DFE8" w14:textId="77777777" w:rsidR="002B6D19" w:rsidRPr="002B6D19" w:rsidRDefault="002B6D19" w:rsidP="002B6D19">
      <w:pPr>
        <w:jc w:val="both"/>
        <w:rPr>
          <w:rFonts w:ascii="Calibri" w:hAnsi="Calibri" w:cs="Calibri"/>
          <w:color w:val="0B0C0C"/>
          <w:sz w:val="22"/>
          <w:szCs w:val="22"/>
          <w:shd w:val="clear" w:color="auto" w:fill="FFFFFF"/>
        </w:rPr>
      </w:pPr>
      <w:r w:rsidRPr="002B6D19">
        <w:rPr>
          <w:rFonts w:ascii="Calibri" w:hAnsi="Calibri" w:cs="Calibri"/>
          <w:color w:val="0B0C0C"/>
          <w:sz w:val="22"/>
          <w:szCs w:val="22"/>
          <w:shd w:val="clear" w:color="auto" w:fill="FFFFFF"/>
        </w:rPr>
        <w:t>The presence of the glass barrier would change how the Ship Inn is experienced in relation to the harbour, introducing a more engineered and defensive character along an edge that currently reads as simple and utilitarian. However, this change represents an incremental alteration to an existing boundary rather than the creation of a new enclosed condition, and the space does not function in the same socially active way as the open harbour</w:t>
      </w:r>
      <w:r w:rsidRPr="002B6D19">
        <w:rPr>
          <w:rFonts w:ascii="Calibri" w:hAnsi="Calibri" w:cs="Calibri"/>
          <w:color w:val="0B0C0C"/>
          <w:sz w:val="22"/>
          <w:szCs w:val="22"/>
          <w:shd w:val="clear" w:color="auto" w:fill="FFFFFF"/>
        </w:rPr>
        <w:noBreakHyphen/>
        <w:t>side edge at the Royal Oak.</w:t>
      </w:r>
    </w:p>
    <w:p w14:paraId="6E41A517" w14:textId="77777777" w:rsidR="002B6D19" w:rsidRPr="002B6D19" w:rsidRDefault="002B6D19" w:rsidP="002B6D19">
      <w:pPr>
        <w:jc w:val="both"/>
        <w:rPr>
          <w:rFonts w:ascii="Calibri" w:hAnsi="Calibri" w:cs="Calibri"/>
          <w:color w:val="0B0C0C"/>
          <w:sz w:val="22"/>
          <w:szCs w:val="22"/>
          <w:shd w:val="clear" w:color="auto" w:fill="FFFFFF"/>
        </w:rPr>
      </w:pPr>
      <w:r w:rsidRPr="002B6D19">
        <w:rPr>
          <w:rFonts w:ascii="Calibri" w:hAnsi="Calibri" w:cs="Calibri"/>
          <w:color w:val="0B0C0C"/>
          <w:sz w:val="22"/>
          <w:szCs w:val="22"/>
          <w:shd w:val="clear" w:color="auto" w:fill="FFFFFF"/>
        </w:rPr>
        <w:t xml:space="preserve">The proposals would not involve the loss of historic building fabric, would not affect the principal elevations of the listed building, and would preserve the Ship Inn’s architectural interest and historic function as a public house. The harm is therefore assessed as less than substantial and at the lower end of the </w:t>
      </w:r>
      <w:proofErr w:type="gramStart"/>
      <w:r w:rsidRPr="002B6D19">
        <w:rPr>
          <w:rFonts w:ascii="Calibri" w:hAnsi="Calibri" w:cs="Calibri"/>
          <w:color w:val="0B0C0C"/>
          <w:sz w:val="22"/>
          <w:szCs w:val="22"/>
          <w:shd w:val="clear" w:color="auto" w:fill="FFFFFF"/>
        </w:rPr>
        <w:t>scale, and</w:t>
      </w:r>
      <w:proofErr w:type="gramEnd"/>
      <w:r w:rsidRPr="002B6D19">
        <w:rPr>
          <w:rFonts w:ascii="Calibri" w:hAnsi="Calibri" w:cs="Calibri"/>
          <w:color w:val="0B0C0C"/>
          <w:sz w:val="22"/>
          <w:szCs w:val="22"/>
          <w:shd w:val="clear" w:color="auto" w:fill="FFFFFF"/>
        </w:rPr>
        <w:t xml:space="preserve"> can be mitigated through careful control of the height, proportions and detailing of the flood</w:t>
      </w:r>
      <w:r w:rsidRPr="002B6D19">
        <w:rPr>
          <w:rFonts w:ascii="Calibri" w:hAnsi="Calibri" w:cs="Calibri"/>
          <w:color w:val="0B0C0C"/>
          <w:sz w:val="22"/>
          <w:szCs w:val="22"/>
          <w:shd w:val="clear" w:color="auto" w:fill="FFFFFF"/>
        </w:rPr>
        <w:noBreakHyphen/>
        <w:t>glass barrier.</w:t>
      </w:r>
    </w:p>
    <w:p w14:paraId="5B623B86" w14:textId="77017ED2" w:rsidR="00A52F89"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7F9E762B" w14:textId="2060831B" w:rsidR="009F78CF" w:rsidRPr="009F78CF" w:rsidRDefault="009F78CF" w:rsidP="009F78CF">
      <w:pPr>
        <w:jc w:val="both"/>
        <w:rPr>
          <w:rFonts w:ascii="Calibri" w:hAnsi="Calibri" w:cs="Calibri"/>
          <w:color w:val="0B0C0C"/>
          <w:sz w:val="22"/>
          <w:szCs w:val="22"/>
          <w:shd w:val="clear" w:color="auto" w:fill="FFFFFF"/>
        </w:rPr>
      </w:pPr>
      <w:r w:rsidRPr="009F78CF">
        <w:rPr>
          <w:rFonts w:ascii="Calibri" w:hAnsi="Calibri" w:cs="Calibri"/>
          <w:color w:val="0B0C0C"/>
          <w:sz w:val="22"/>
          <w:szCs w:val="22"/>
          <w:shd w:val="clear" w:color="auto" w:fill="FFFFFF"/>
        </w:rPr>
        <w:lastRenderedPageBreak/>
        <w:t xml:space="preserve">In accordance with Section 16 of the Planning (Listed Buildings and Conservation Areas) Act 1990, special regard </w:t>
      </w:r>
      <w:r w:rsidR="00737341">
        <w:rPr>
          <w:rFonts w:ascii="Calibri" w:hAnsi="Calibri" w:cs="Calibri"/>
          <w:color w:val="0B0C0C"/>
          <w:sz w:val="22"/>
          <w:szCs w:val="22"/>
          <w:shd w:val="clear" w:color="auto" w:fill="FFFFFF"/>
        </w:rPr>
        <w:t>must be</w:t>
      </w:r>
      <w:r w:rsidRPr="009F78CF">
        <w:rPr>
          <w:rFonts w:ascii="Calibri" w:hAnsi="Calibri" w:cs="Calibri"/>
          <w:color w:val="0B0C0C"/>
          <w:sz w:val="22"/>
          <w:szCs w:val="22"/>
          <w:shd w:val="clear" w:color="auto" w:fill="FFFFFF"/>
        </w:rPr>
        <w:t xml:space="preserve"> had to the desirability of preserving the Ship Inn and the features of special architectural and historic interest it possesses.</w:t>
      </w:r>
    </w:p>
    <w:p w14:paraId="7D283C0A" w14:textId="77777777" w:rsidR="009F78CF" w:rsidRPr="009F78CF" w:rsidRDefault="009F78CF" w:rsidP="009F78CF">
      <w:pPr>
        <w:jc w:val="both"/>
        <w:rPr>
          <w:rFonts w:ascii="Calibri" w:hAnsi="Calibri" w:cs="Calibri"/>
          <w:color w:val="0B0C0C"/>
          <w:sz w:val="22"/>
          <w:szCs w:val="22"/>
          <w:shd w:val="clear" w:color="auto" w:fill="FFFFFF"/>
        </w:rPr>
      </w:pPr>
      <w:r w:rsidRPr="009F78CF">
        <w:rPr>
          <w:rFonts w:ascii="Calibri" w:hAnsi="Calibri" w:cs="Calibri"/>
          <w:color w:val="0B0C0C"/>
          <w:sz w:val="22"/>
          <w:szCs w:val="22"/>
          <w:shd w:val="clear" w:color="auto" w:fill="FFFFFF"/>
        </w:rPr>
        <w:t>The proposals would give rise to a low level of less than substantial harm, arising principally from the introduction of a flood</w:t>
      </w:r>
      <w:r w:rsidRPr="009F78CF">
        <w:rPr>
          <w:rFonts w:ascii="Calibri" w:hAnsi="Calibri" w:cs="Calibri"/>
          <w:color w:val="0B0C0C"/>
          <w:sz w:val="22"/>
          <w:szCs w:val="22"/>
          <w:shd w:val="clear" w:color="auto" w:fill="FFFFFF"/>
        </w:rPr>
        <w:noBreakHyphen/>
        <w:t>glass barrier above the existing quay wall within the curtilage of the listed building. The glass barrier would introduce a modern and visually prominent element along the harbour</w:t>
      </w:r>
      <w:r w:rsidRPr="009F78CF">
        <w:rPr>
          <w:rFonts w:ascii="Calibri" w:hAnsi="Calibri" w:cs="Calibri"/>
          <w:color w:val="0B0C0C"/>
          <w:sz w:val="22"/>
          <w:szCs w:val="22"/>
          <w:shd w:val="clear" w:color="auto" w:fill="FFFFFF"/>
        </w:rPr>
        <w:noBreakHyphen/>
        <w:t>side boundary, altering the informal and utilitarian character of this edge and changing the way the Ship Inn is experienced in relation to the harbour.</w:t>
      </w:r>
    </w:p>
    <w:p w14:paraId="0B94458B" w14:textId="77777777" w:rsidR="009F78CF" w:rsidRPr="009F78CF" w:rsidRDefault="009F78CF" w:rsidP="009F78CF">
      <w:pPr>
        <w:jc w:val="both"/>
        <w:rPr>
          <w:rFonts w:ascii="Calibri" w:hAnsi="Calibri" w:cs="Calibri"/>
          <w:color w:val="0B0C0C"/>
          <w:sz w:val="22"/>
          <w:szCs w:val="22"/>
          <w:shd w:val="clear" w:color="auto" w:fill="FFFFFF"/>
        </w:rPr>
      </w:pPr>
      <w:r w:rsidRPr="009F78CF">
        <w:rPr>
          <w:rFonts w:ascii="Calibri" w:hAnsi="Calibri" w:cs="Calibri"/>
          <w:color w:val="0B0C0C"/>
          <w:sz w:val="22"/>
          <w:szCs w:val="22"/>
          <w:shd w:val="clear" w:color="auto" w:fill="FFFFFF"/>
        </w:rPr>
        <w:t>However, this harm is limited in extent and represents an incremental change to an established boundary, rather than the introduction of a new enclosed condition. The replacement of the faded breeze</w:t>
      </w:r>
      <w:r w:rsidRPr="009F78CF">
        <w:rPr>
          <w:rFonts w:ascii="Calibri" w:hAnsi="Calibri" w:cs="Calibri"/>
          <w:color w:val="0B0C0C"/>
          <w:sz w:val="22"/>
          <w:szCs w:val="22"/>
          <w:shd w:val="clear" w:color="auto" w:fill="FFFFFF"/>
        </w:rPr>
        <w:noBreakHyphen/>
        <w:t>block wall with brick cladding would not in itself be harmful, and the proposals would not involve the loss of historic building fabric, would not affect the principal elevations of the listed building, and would preserve the Ship Inn’s architectural interest and historic function as a public house.</w:t>
      </w:r>
    </w:p>
    <w:p w14:paraId="523CAD5A" w14:textId="01918948" w:rsidR="009F78CF" w:rsidRPr="009F78CF" w:rsidRDefault="009F78CF" w:rsidP="009F78CF">
      <w:pPr>
        <w:jc w:val="both"/>
        <w:rPr>
          <w:rFonts w:ascii="Calibri" w:hAnsi="Calibri" w:cs="Calibri"/>
          <w:color w:val="0B0C0C"/>
          <w:sz w:val="22"/>
          <w:szCs w:val="22"/>
          <w:shd w:val="clear" w:color="auto" w:fill="FFFFFF"/>
        </w:rPr>
      </w:pPr>
      <w:r w:rsidRPr="009F78CF">
        <w:rPr>
          <w:rFonts w:ascii="Calibri" w:hAnsi="Calibri" w:cs="Calibri"/>
          <w:color w:val="0B0C0C"/>
          <w:sz w:val="22"/>
          <w:szCs w:val="22"/>
          <w:shd w:val="clear" w:color="auto" w:fill="FFFFFF"/>
        </w:rPr>
        <w:t>Taking these factors into account, it is concluded that, while the proposals would result in a low level of less than substantial harm, they would nevertheless preserve the significance of the listed building</w:t>
      </w:r>
      <w:r w:rsidR="00CA40CC">
        <w:rPr>
          <w:rFonts w:ascii="Calibri" w:hAnsi="Calibri" w:cs="Calibri"/>
          <w:color w:val="0B0C0C"/>
          <w:sz w:val="22"/>
          <w:szCs w:val="22"/>
          <w:shd w:val="clear" w:color="auto" w:fill="FFFFFF"/>
        </w:rPr>
        <w:t xml:space="preserve"> and its special architectural and historic interest</w:t>
      </w:r>
      <w:r w:rsidRPr="009F78CF">
        <w:rPr>
          <w:rFonts w:ascii="Calibri" w:hAnsi="Calibri" w:cs="Calibri"/>
          <w:color w:val="0B0C0C"/>
          <w:sz w:val="22"/>
          <w:szCs w:val="22"/>
          <w:shd w:val="clear" w:color="auto" w:fill="FFFFFF"/>
        </w:rPr>
        <w:t>.</w:t>
      </w:r>
    </w:p>
    <w:p w14:paraId="7CD336F3" w14:textId="3192705C" w:rsidR="009F78CF" w:rsidRPr="009F78CF" w:rsidRDefault="009F78CF" w:rsidP="009F78CF">
      <w:pPr>
        <w:jc w:val="both"/>
        <w:rPr>
          <w:rFonts w:ascii="Calibri" w:hAnsi="Calibri" w:cs="Calibri"/>
          <w:color w:val="0B0C0C"/>
          <w:sz w:val="22"/>
          <w:szCs w:val="22"/>
          <w:shd w:val="clear" w:color="auto" w:fill="FFFFFF"/>
        </w:rPr>
      </w:pPr>
      <w:r w:rsidRPr="009F78CF">
        <w:rPr>
          <w:rFonts w:ascii="Calibri" w:hAnsi="Calibri" w:cs="Calibri"/>
          <w:color w:val="0B0C0C"/>
          <w:sz w:val="22"/>
          <w:szCs w:val="22"/>
          <w:shd w:val="clear" w:color="auto" w:fill="FFFFFF"/>
        </w:rPr>
        <w:t>Accordingly, no objection is raised to the Listed Building Consent, subject to the recommended condition.</w:t>
      </w:r>
    </w:p>
    <w:p w14:paraId="78BDEC9C" w14:textId="59ED532F" w:rsidR="002A4F7A" w:rsidRDefault="00442B62" w:rsidP="00B12D34">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OBJECTION subject to the following condition: </w:t>
      </w:r>
    </w:p>
    <w:p w14:paraId="6FCFB44F" w14:textId="1556294F" w:rsidR="00087A52" w:rsidRPr="00087A52" w:rsidRDefault="00087A52" w:rsidP="00087A52">
      <w:pPr>
        <w:pStyle w:val="ListParagraph"/>
        <w:numPr>
          <w:ilvl w:val="0"/>
          <w:numId w:val="34"/>
        </w:numPr>
        <w:jc w:val="both"/>
        <w:rPr>
          <w:rFonts w:ascii="Calibri" w:hAnsi="Calibri" w:cs="Calibri"/>
          <w:color w:val="0B0C0C"/>
          <w:sz w:val="22"/>
          <w:szCs w:val="22"/>
          <w:shd w:val="clear" w:color="auto" w:fill="FFFFFF"/>
        </w:rPr>
      </w:pPr>
      <w:r w:rsidRPr="00087A52">
        <w:rPr>
          <w:rFonts w:ascii="Calibri" w:hAnsi="Calibri" w:cs="Calibri"/>
          <w:color w:val="0B0C0C"/>
          <w:sz w:val="22"/>
          <w:szCs w:val="22"/>
          <w:shd w:val="clear" w:color="auto" w:fill="FFFFFF"/>
        </w:rPr>
        <w:t>Notwithstanding the approved drawings, no works affecting existing surfaces within the curtilage of the Ship Inn, including courtyard and car park areas, shall commence until details of the existing surfaces, proposals for removal (where necessary), and details of reinstatement or replacement have been submitted to and approved in writing by the Local Planning Authority.</w:t>
      </w:r>
    </w:p>
    <w:p w14:paraId="0E451C69" w14:textId="77777777" w:rsidR="00087A52" w:rsidRPr="00087A52" w:rsidRDefault="00087A52" w:rsidP="00087A52">
      <w:pPr>
        <w:jc w:val="both"/>
        <w:rPr>
          <w:rFonts w:ascii="Calibri" w:hAnsi="Calibri" w:cs="Calibri"/>
          <w:color w:val="0B0C0C"/>
          <w:sz w:val="22"/>
          <w:szCs w:val="22"/>
          <w:shd w:val="clear" w:color="auto" w:fill="FFFFFF"/>
        </w:rPr>
      </w:pPr>
      <w:r w:rsidRPr="00087A52">
        <w:rPr>
          <w:rFonts w:ascii="Calibri" w:hAnsi="Calibri" w:cs="Calibri"/>
          <w:color w:val="0B0C0C"/>
          <w:sz w:val="22"/>
          <w:szCs w:val="22"/>
          <w:shd w:val="clear" w:color="auto" w:fill="FFFFFF"/>
        </w:rPr>
        <w:t>The works shall thereafter be carried out fully in accordance with the approved details.</w:t>
      </w:r>
    </w:p>
    <w:p w14:paraId="0C5F963B" w14:textId="77777777" w:rsidR="00087A52" w:rsidRPr="00087A52" w:rsidRDefault="00087A52" w:rsidP="00087A52">
      <w:pPr>
        <w:jc w:val="both"/>
        <w:rPr>
          <w:rFonts w:ascii="Calibri" w:hAnsi="Calibri" w:cs="Calibri"/>
          <w:color w:val="0B0C0C"/>
          <w:sz w:val="22"/>
          <w:szCs w:val="22"/>
          <w:shd w:val="clear" w:color="auto" w:fill="FFFFFF"/>
        </w:rPr>
      </w:pPr>
      <w:r w:rsidRPr="00087A52">
        <w:rPr>
          <w:rFonts w:ascii="Calibri" w:hAnsi="Calibri" w:cs="Calibri"/>
          <w:b/>
          <w:bCs/>
          <w:color w:val="0B0C0C"/>
          <w:sz w:val="22"/>
          <w:szCs w:val="22"/>
          <w:shd w:val="clear" w:color="auto" w:fill="FFFFFF"/>
        </w:rPr>
        <w:t>Reason:</w:t>
      </w:r>
      <w:r w:rsidRPr="00087A52">
        <w:rPr>
          <w:rFonts w:ascii="Calibri" w:hAnsi="Calibri" w:cs="Calibri"/>
          <w:color w:val="0B0C0C"/>
          <w:sz w:val="22"/>
          <w:szCs w:val="22"/>
          <w:shd w:val="clear" w:color="auto" w:fill="FFFFFF"/>
        </w:rPr>
        <w:br/>
        <w:t>To safeguard historic curtilage fabric and preserve the special architectural and historic interest of the listed building, in accordance with Section 16 of the Planning (Listed Buildings and Conservation Areas) Act 1990.</w:t>
      </w:r>
    </w:p>
    <w:p w14:paraId="453AC894" w14:textId="1F5A0165" w:rsidR="0093093E" w:rsidRPr="0093093E" w:rsidRDefault="0093093E" w:rsidP="0093093E">
      <w:pPr>
        <w:pStyle w:val="ListParagraph"/>
        <w:numPr>
          <w:ilvl w:val="0"/>
          <w:numId w:val="34"/>
        </w:numPr>
        <w:jc w:val="both"/>
        <w:rPr>
          <w:rFonts w:ascii="Calibri" w:hAnsi="Calibri" w:cs="Calibri"/>
          <w:color w:val="0B0C0C"/>
          <w:sz w:val="22"/>
          <w:szCs w:val="22"/>
          <w:shd w:val="clear" w:color="auto" w:fill="FFFFFF"/>
        </w:rPr>
      </w:pPr>
      <w:r w:rsidRPr="0093093E">
        <w:rPr>
          <w:rFonts w:ascii="Calibri" w:hAnsi="Calibri" w:cs="Calibri"/>
          <w:color w:val="0B0C0C"/>
          <w:sz w:val="22"/>
          <w:szCs w:val="22"/>
          <w:shd w:val="clear" w:color="auto" w:fill="FFFFFF"/>
        </w:rPr>
        <w:t>Where any existing curtilage boundary materials associated with the Ship Inn are demonstrated, to the satisfaction of the Local Planning Authority, to be incapable of retention or reinstatement, no replacement materials shall be installed until details of the proposed replacement materials (including brick, stone or coping) have been submitted to and approved in writing by the Local Planning Authority.</w:t>
      </w:r>
    </w:p>
    <w:p w14:paraId="7B2DBA8A" w14:textId="77777777" w:rsidR="0093093E" w:rsidRPr="0093093E" w:rsidRDefault="0093093E" w:rsidP="0093093E">
      <w:pPr>
        <w:jc w:val="both"/>
        <w:rPr>
          <w:rFonts w:ascii="Calibri" w:hAnsi="Calibri" w:cs="Calibri"/>
          <w:color w:val="0B0C0C"/>
          <w:sz w:val="22"/>
          <w:szCs w:val="22"/>
          <w:shd w:val="clear" w:color="auto" w:fill="FFFFFF"/>
        </w:rPr>
      </w:pPr>
      <w:r w:rsidRPr="0093093E">
        <w:rPr>
          <w:rFonts w:ascii="Calibri" w:hAnsi="Calibri" w:cs="Calibri"/>
          <w:color w:val="0B0C0C"/>
          <w:sz w:val="22"/>
          <w:szCs w:val="22"/>
          <w:shd w:val="clear" w:color="auto" w:fill="FFFFFF"/>
        </w:rPr>
        <w:t>The approved materials shall match the appearance, dimensions and finish of the existing materials as closely as possible.</w:t>
      </w:r>
    </w:p>
    <w:p w14:paraId="245A4C1A" w14:textId="77777777" w:rsidR="0093093E" w:rsidRPr="0093093E" w:rsidRDefault="0093093E" w:rsidP="0093093E">
      <w:pPr>
        <w:jc w:val="both"/>
        <w:rPr>
          <w:rFonts w:ascii="Calibri" w:hAnsi="Calibri" w:cs="Calibri"/>
          <w:color w:val="0B0C0C"/>
          <w:sz w:val="22"/>
          <w:szCs w:val="22"/>
          <w:shd w:val="clear" w:color="auto" w:fill="FFFFFF"/>
        </w:rPr>
      </w:pPr>
      <w:r w:rsidRPr="0093093E">
        <w:rPr>
          <w:rFonts w:ascii="Calibri" w:hAnsi="Calibri" w:cs="Calibri"/>
          <w:b/>
          <w:bCs/>
          <w:color w:val="0B0C0C"/>
          <w:sz w:val="22"/>
          <w:szCs w:val="22"/>
          <w:shd w:val="clear" w:color="auto" w:fill="FFFFFF"/>
        </w:rPr>
        <w:t>Reason:</w:t>
      </w:r>
      <w:r w:rsidRPr="0093093E">
        <w:rPr>
          <w:rFonts w:ascii="Calibri" w:hAnsi="Calibri" w:cs="Calibri"/>
          <w:color w:val="0B0C0C"/>
          <w:sz w:val="22"/>
          <w:szCs w:val="22"/>
          <w:shd w:val="clear" w:color="auto" w:fill="FFFFFF"/>
        </w:rPr>
        <w:br/>
        <w:t xml:space="preserve">To ensure that any necessary replacement materials preserve the character of the historic curtilage </w:t>
      </w:r>
      <w:r w:rsidRPr="0093093E">
        <w:rPr>
          <w:rFonts w:ascii="Calibri" w:hAnsi="Calibri" w:cs="Calibri"/>
          <w:color w:val="0B0C0C"/>
          <w:sz w:val="22"/>
          <w:szCs w:val="22"/>
          <w:shd w:val="clear" w:color="auto" w:fill="FFFFFF"/>
        </w:rPr>
        <w:lastRenderedPageBreak/>
        <w:t>and the special architectural and historic interest of the listed building, in accordance with Section 16 of the Planning (Listed Buildings and Conservation Areas) Act 1990.</w:t>
      </w:r>
    </w:p>
    <w:p w14:paraId="2440800F" w14:textId="4F99D858" w:rsidR="00D63642" w:rsidRPr="00FB6004" w:rsidRDefault="00D63642" w:rsidP="00FB6004">
      <w:pPr>
        <w:jc w:val="both"/>
        <w:rPr>
          <w:rFonts w:ascii="Calibri" w:hAnsi="Calibri" w:cs="Calibri"/>
          <w:color w:val="0B0C0C"/>
          <w:sz w:val="22"/>
          <w:szCs w:val="22"/>
          <w:shd w:val="clear" w:color="auto" w:fill="FFFFFF"/>
        </w:rPr>
      </w:pPr>
    </w:p>
    <w:sectPr w:rsidR="00D63642" w:rsidRPr="00FB6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95C78"/>
    <w:multiLevelType w:val="multilevel"/>
    <w:tmpl w:val="722EE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41EC0"/>
    <w:multiLevelType w:val="multilevel"/>
    <w:tmpl w:val="A4B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932F4"/>
    <w:multiLevelType w:val="hybridMultilevel"/>
    <w:tmpl w:val="BE8A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D02D06"/>
    <w:multiLevelType w:val="hybridMultilevel"/>
    <w:tmpl w:val="B644EDCE"/>
    <w:lvl w:ilvl="0" w:tplc="7C04304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CDB2174"/>
    <w:multiLevelType w:val="hybridMultilevel"/>
    <w:tmpl w:val="69AEB6E4"/>
    <w:lvl w:ilvl="0" w:tplc="5A92F5D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D813E5"/>
    <w:multiLevelType w:val="hybridMultilevel"/>
    <w:tmpl w:val="C9EE3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012D44"/>
    <w:multiLevelType w:val="hybridMultilevel"/>
    <w:tmpl w:val="EB12B45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A5E00E0"/>
    <w:multiLevelType w:val="hybridMultilevel"/>
    <w:tmpl w:val="2F10E30C"/>
    <w:lvl w:ilvl="0" w:tplc="EF9825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7B77BD"/>
    <w:multiLevelType w:val="hybridMultilevel"/>
    <w:tmpl w:val="52A26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AA21CB"/>
    <w:multiLevelType w:val="hybridMultilevel"/>
    <w:tmpl w:val="5C4E99E8"/>
    <w:lvl w:ilvl="0" w:tplc="FB3AA5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E40C2C"/>
    <w:multiLevelType w:val="hybridMultilevel"/>
    <w:tmpl w:val="06181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985CC5"/>
    <w:multiLevelType w:val="hybridMultilevel"/>
    <w:tmpl w:val="437E8AF2"/>
    <w:lvl w:ilvl="0" w:tplc="CECCE4C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283390"/>
    <w:multiLevelType w:val="hybridMultilevel"/>
    <w:tmpl w:val="06262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44319C"/>
    <w:multiLevelType w:val="hybridMultilevel"/>
    <w:tmpl w:val="43323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514BC4"/>
    <w:multiLevelType w:val="multilevel"/>
    <w:tmpl w:val="E2F2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811E3D"/>
    <w:multiLevelType w:val="multilevel"/>
    <w:tmpl w:val="A100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4272EC"/>
    <w:multiLevelType w:val="multilevel"/>
    <w:tmpl w:val="131C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7B2A48"/>
    <w:multiLevelType w:val="hybridMultilevel"/>
    <w:tmpl w:val="6AEC4A10"/>
    <w:lvl w:ilvl="0" w:tplc="5A92F5D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4A39CD"/>
    <w:multiLevelType w:val="multilevel"/>
    <w:tmpl w:val="529E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5576D"/>
    <w:multiLevelType w:val="multilevel"/>
    <w:tmpl w:val="68FE7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923702">
    <w:abstractNumId w:val="14"/>
  </w:num>
  <w:num w:numId="2" w16cid:durableId="751972753">
    <w:abstractNumId w:val="29"/>
  </w:num>
  <w:num w:numId="3" w16cid:durableId="1809206664">
    <w:abstractNumId w:val="17"/>
  </w:num>
  <w:num w:numId="4" w16cid:durableId="2032418738">
    <w:abstractNumId w:val="24"/>
  </w:num>
  <w:num w:numId="5" w16cid:durableId="887572044">
    <w:abstractNumId w:val="10"/>
  </w:num>
  <w:num w:numId="6" w16cid:durableId="315845238">
    <w:abstractNumId w:val="21"/>
  </w:num>
  <w:num w:numId="7" w16cid:durableId="159973812">
    <w:abstractNumId w:val="3"/>
  </w:num>
  <w:num w:numId="8" w16cid:durableId="1633057636">
    <w:abstractNumId w:val="1"/>
  </w:num>
  <w:num w:numId="9" w16cid:durableId="999768810">
    <w:abstractNumId w:val="28"/>
  </w:num>
  <w:num w:numId="10" w16cid:durableId="979652522">
    <w:abstractNumId w:val="27"/>
  </w:num>
  <w:num w:numId="11" w16cid:durableId="1415201962">
    <w:abstractNumId w:val="9"/>
  </w:num>
  <w:num w:numId="12" w16cid:durableId="2146316439">
    <w:abstractNumId w:val="0"/>
  </w:num>
  <w:num w:numId="13" w16cid:durableId="1963880985">
    <w:abstractNumId w:val="2"/>
  </w:num>
  <w:num w:numId="14" w16cid:durableId="31345016">
    <w:abstractNumId w:val="25"/>
  </w:num>
  <w:num w:numId="15" w16cid:durableId="1813019218">
    <w:abstractNumId w:val="13"/>
  </w:num>
  <w:num w:numId="16" w16cid:durableId="1040472172">
    <w:abstractNumId w:val="19"/>
  </w:num>
  <w:num w:numId="17" w16cid:durableId="857744031">
    <w:abstractNumId w:val="6"/>
  </w:num>
  <w:num w:numId="18" w16cid:durableId="1339457360">
    <w:abstractNumId w:val="18"/>
  </w:num>
  <w:num w:numId="19" w16cid:durableId="1545485268">
    <w:abstractNumId w:val="16"/>
  </w:num>
  <w:num w:numId="20" w16cid:durableId="1944650987">
    <w:abstractNumId w:val="23"/>
  </w:num>
  <w:num w:numId="21" w16cid:durableId="983582430">
    <w:abstractNumId w:val="26"/>
  </w:num>
  <w:num w:numId="22" w16cid:durableId="421024731">
    <w:abstractNumId w:val="8"/>
  </w:num>
  <w:num w:numId="23" w16cid:durableId="1104378450">
    <w:abstractNumId w:val="31"/>
  </w:num>
  <w:num w:numId="24" w16cid:durableId="153843061">
    <w:abstractNumId w:val="5"/>
  </w:num>
  <w:num w:numId="25" w16cid:durableId="1148672827">
    <w:abstractNumId w:val="4"/>
  </w:num>
  <w:num w:numId="26" w16cid:durableId="1926305654">
    <w:abstractNumId w:val="33"/>
  </w:num>
  <w:num w:numId="27" w16cid:durableId="1765033022">
    <w:abstractNumId w:val="32"/>
  </w:num>
  <w:num w:numId="28" w16cid:durableId="1201169578">
    <w:abstractNumId w:val="15"/>
  </w:num>
  <w:num w:numId="29" w16cid:durableId="1934582967">
    <w:abstractNumId w:val="20"/>
  </w:num>
  <w:num w:numId="30" w16cid:durableId="633408310">
    <w:abstractNumId w:val="7"/>
  </w:num>
  <w:num w:numId="31" w16cid:durableId="1267420588">
    <w:abstractNumId w:val="12"/>
  </w:num>
  <w:num w:numId="32" w16cid:durableId="609894403">
    <w:abstractNumId w:val="11"/>
  </w:num>
  <w:num w:numId="33" w16cid:durableId="711460117">
    <w:abstractNumId w:val="30"/>
  </w:num>
  <w:num w:numId="34" w16cid:durableId="17334576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475"/>
    <w:rsid w:val="00023651"/>
    <w:rsid w:val="00023F13"/>
    <w:rsid w:val="00027E98"/>
    <w:rsid w:val="00032BAD"/>
    <w:rsid w:val="00036618"/>
    <w:rsid w:val="000378D9"/>
    <w:rsid w:val="0004185C"/>
    <w:rsid w:val="00046B51"/>
    <w:rsid w:val="00087A52"/>
    <w:rsid w:val="000A3ED3"/>
    <w:rsid w:val="000B007A"/>
    <w:rsid w:val="000B17A7"/>
    <w:rsid w:val="000B3B84"/>
    <w:rsid w:val="000C66F8"/>
    <w:rsid w:val="000C6896"/>
    <w:rsid w:val="000D1230"/>
    <w:rsid w:val="000D281E"/>
    <w:rsid w:val="0012767B"/>
    <w:rsid w:val="00136C77"/>
    <w:rsid w:val="0014625B"/>
    <w:rsid w:val="00170E0A"/>
    <w:rsid w:val="00177BEF"/>
    <w:rsid w:val="00181232"/>
    <w:rsid w:val="00195710"/>
    <w:rsid w:val="00195D83"/>
    <w:rsid w:val="001B4EEA"/>
    <w:rsid w:val="001B7D7F"/>
    <w:rsid w:val="001C33BE"/>
    <w:rsid w:val="001E19CA"/>
    <w:rsid w:val="00205253"/>
    <w:rsid w:val="002121CE"/>
    <w:rsid w:val="00214695"/>
    <w:rsid w:val="0021656A"/>
    <w:rsid w:val="00242E69"/>
    <w:rsid w:val="0025513C"/>
    <w:rsid w:val="0026557C"/>
    <w:rsid w:val="002668F4"/>
    <w:rsid w:val="0027172E"/>
    <w:rsid w:val="002727E7"/>
    <w:rsid w:val="00283254"/>
    <w:rsid w:val="00291CE4"/>
    <w:rsid w:val="002A25D7"/>
    <w:rsid w:val="002A4F7A"/>
    <w:rsid w:val="002A749C"/>
    <w:rsid w:val="002B6D19"/>
    <w:rsid w:val="002C36C1"/>
    <w:rsid w:val="002D2C5D"/>
    <w:rsid w:val="002D7AB4"/>
    <w:rsid w:val="002D7F26"/>
    <w:rsid w:val="002E59FE"/>
    <w:rsid w:val="002E5E23"/>
    <w:rsid w:val="002F6E50"/>
    <w:rsid w:val="00301BA2"/>
    <w:rsid w:val="00317A8F"/>
    <w:rsid w:val="00322E4F"/>
    <w:rsid w:val="0033167B"/>
    <w:rsid w:val="0034327E"/>
    <w:rsid w:val="00343DA8"/>
    <w:rsid w:val="0039219A"/>
    <w:rsid w:val="003B4A51"/>
    <w:rsid w:val="003E548E"/>
    <w:rsid w:val="003F58EF"/>
    <w:rsid w:val="003F6D58"/>
    <w:rsid w:val="00402EEE"/>
    <w:rsid w:val="0041577B"/>
    <w:rsid w:val="004276D2"/>
    <w:rsid w:val="00434709"/>
    <w:rsid w:val="0043716D"/>
    <w:rsid w:val="004377FB"/>
    <w:rsid w:val="00442452"/>
    <w:rsid w:val="00442B62"/>
    <w:rsid w:val="004458F7"/>
    <w:rsid w:val="004529A7"/>
    <w:rsid w:val="00463DFD"/>
    <w:rsid w:val="00471B1B"/>
    <w:rsid w:val="00474EE8"/>
    <w:rsid w:val="004805A8"/>
    <w:rsid w:val="00493D1E"/>
    <w:rsid w:val="00494724"/>
    <w:rsid w:val="004C04CE"/>
    <w:rsid w:val="004C6E91"/>
    <w:rsid w:val="004D3986"/>
    <w:rsid w:val="004E0718"/>
    <w:rsid w:val="004E1CD1"/>
    <w:rsid w:val="004E41DC"/>
    <w:rsid w:val="004F18DF"/>
    <w:rsid w:val="004F61DA"/>
    <w:rsid w:val="00503087"/>
    <w:rsid w:val="00504F94"/>
    <w:rsid w:val="005114AF"/>
    <w:rsid w:val="005225AA"/>
    <w:rsid w:val="0053182E"/>
    <w:rsid w:val="00535273"/>
    <w:rsid w:val="00576A58"/>
    <w:rsid w:val="00580A86"/>
    <w:rsid w:val="00586210"/>
    <w:rsid w:val="0058786B"/>
    <w:rsid w:val="005879B9"/>
    <w:rsid w:val="0059063F"/>
    <w:rsid w:val="005A0CAD"/>
    <w:rsid w:val="005A1B31"/>
    <w:rsid w:val="005A2565"/>
    <w:rsid w:val="005E3299"/>
    <w:rsid w:val="005E41E7"/>
    <w:rsid w:val="005F2B0A"/>
    <w:rsid w:val="00600B95"/>
    <w:rsid w:val="00616599"/>
    <w:rsid w:val="00621CC0"/>
    <w:rsid w:val="00634799"/>
    <w:rsid w:val="00634D74"/>
    <w:rsid w:val="0064516A"/>
    <w:rsid w:val="00656FCE"/>
    <w:rsid w:val="00672348"/>
    <w:rsid w:val="00675137"/>
    <w:rsid w:val="006B0B7F"/>
    <w:rsid w:val="006B2A39"/>
    <w:rsid w:val="006B6704"/>
    <w:rsid w:val="006D32BA"/>
    <w:rsid w:val="006E213E"/>
    <w:rsid w:val="006E224F"/>
    <w:rsid w:val="006F1D88"/>
    <w:rsid w:val="0070307C"/>
    <w:rsid w:val="00737341"/>
    <w:rsid w:val="007639A2"/>
    <w:rsid w:val="00767F0F"/>
    <w:rsid w:val="00767FF8"/>
    <w:rsid w:val="00770D5E"/>
    <w:rsid w:val="0079536D"/>
    <w:rsid w:val="007C6765"/>
    <w:rsid w:val="007C74BB"/>
    <w:rsid w:val="007D3C82"/>
    <w:rsid w:val="007D43AC"/>
    <w:rsid w:val="007E6874"/>
    <w:rsid w:val="007F3519"/>
    <w:rsid w:val="007F715B"/>
    <w:rsid w:val="00820548"/>
    <w:rsid w:val="00822153"/>
    <w:rsid w:val="00836EE7"/>
    <w:rsid w:val="00851CBE"/>
    <w:rsid w:val="0088471E"/>
    <w:rsid w:val="008A4829"/>
    <w:rsid w:val="008C7E14"/>
    <w:rsid w:val="008D63B2"/>
    <w:rsid w:val="008D7E97"/>
    <w:rsid w:val="008F0842"/>
    <w:rsid w:val="009006FC"/>
    <w:rsid w:val="00902C3D"/>
    <w:rsid w:val="00904948"/>
    <w:rsid w:val="009070B4"/>
    <w:rsid w:val="0093093E"/>
    <w:rsid w:val="00934BC3"/>
    <w:rsid w:val="009369E8"/>
    <w:rsid w:val="00937EA4"/>
    <w:rsid w:val="009405B2"/>
    <w:rsid w:val="00965C54"/>
    <w:rsid w:val="00970669"/>
    <w:rsid w:val="00976397"/>
    <w:rsid w:val="009769E7"/>
    <w:rsid w:val="00983E47"/>
    <w:rsid w:val="00985F88"/>
    <w:rsid w:val="00987943"/>
    <w:rsid w:val="009A6F4C"/>
    <w:rsid w:val="009B1742"/>
    <w:rsid w:val="009B18A6"/>
    <w:rsid w:val="009B7378"/>
    <w:rsid w:val="009C0338"/>
    <w:rsid w:val="009D1590"/>
    <w:rsid w:val="009F709F"/>
    <w:rsid w:val="009F78CF"/>
    <w:rsid w:val="009F78FC"/>
    <w:rsid w:val="00A04BBA"/>
    <w:rsid w:val="00A05251"/>
    <w:rsid w:val="00A065BB"/>
    <w:rsid w:val="00A1734B"/>
    <w:rsid w:val="00A2531E"/>
    <w:rsid w:val="00A30910"/>
    <w:rsid w:val="00A40605"/>
    <w:rsid w:val="00A52F89"/>
    <w:rsid w:val="00A5331A"/>
    <w:rsid w:val="00A62287"/>
    <w:rsid w:val="00A642F1"/>
    <w:rsid w:val="00A748ED"/>
    <w:rsid w:val="00A75182"/>
    <w:rsid w:val="00A860E5"/>
    <w:rsid w:val="00A87F67"/>
    <w:rsid w:val="00A928AD"/>
    <w:rsid w:val="00A93B74"/>
    <w:rsid w:val="00AA002B"/>
    <w:rsid w:val="00AB1C83"/>
    <w:rsid w:val="00AE51BE"/>
    <w:rsid w:val="00B12D34"/>
    <w:rsid w:val="00B23319"/>
    <w:rsid w:val="00B335BB"/>
    <w:rsid w:val="00B374C1"/>
    <w:rsid w:val="00B4729B"/>
    <w:rsid w:val="00B53D31"/>
    <w:rsid w:val="00B632A1"/>
    <w:rsid w:val="00B65468"/>
    <w:rsid w:val="00B71500"/>
    <w:rsid w:val="00B71ACA"/>
    <w:rsid w:val="00B75136"/>
    <w:rsid w:val="00B769B2"/>
    <w:rsid w:val="00BA3480"/>
    <w:rsid w:val="00BC03D2"/>
    <w:rsid w:val="00BD4C0D"/>
    <w:rsid w:val="00C02869"/>
    <w:rsid w:val="00C06684"/>
    <w:rsid w:val="00C07F8C"/>
    <w:rsid w:val="00C12ECA"/>
    <w:rsid w:val="00C136C4"/>
    <w:rsid w:val="00C149E6"/>
    <w:rsid w:val="00C17DB3"/>
    <w:rsid w:val="00C319BF"/>
    <w:rsid w:val="00C34A68"/>
    <w:rsid w:val="00C371B7"/>
    <w:rsid w:val="00C37ED6"/>
    <w:rsid w:val="00C612CB"/>
    <w:rsid w:val="00C6521A"/>
    <w:rsid w:val="00C72E6D"/>
    <w:rsid w:val="00C7362F"/>
    <w:rsid w:val="00C91078"/>
    <w:rsid w:val="00CA40CC"/>
    <w:rsid w:val="00CC4BEC"/>
    <w:rsid w:val="00CC6918"/>
    <w:rsid w:val="00CD18F5"/>
    <w:rsid w:val="00CD28D9"/>
    <w:rsid w:val="00D035B0"/>
    <w:rsid w:val="00D132BD"/>
    <w:rsid w:val="00D24B73"/>
    <w:rsid w:val="00D376DF"/>
    <w:rsid w:val="00D4122A"/>
    <w:rsid w:val="00D60332"/>
    <w:rsid w:val="00D627B4"/>
    <w:rsid w:val="00D63642"/>
    <w:rsid w:val="00D81BB5"/>
    <w:rsid w:val="00D902EB"/>
    <w:rsid w:val="00DA0820"/>
    <w:rsid w:val="00DA7DC6"/>
    <w:rsid w:val="00DF2FB3"/>
    <w:rsid w:val="00DF4CDC"/>
    <w:rsid w:val="00DF7452"/>
    <w:rsid w:val="00E263F1"/>
    <w:rsid w:val="00E426F2"/>
    <w:rsid w:val="00E439DC"/>
    <w:rsid w:val="00E70E4F"/>
    <w:rsid w:val="00E72256"/>
    <w:rsid w:val="00E81C21"/>
    <w:rsid w:val="00E96105"/>
    <w:rsid w:val="00EA2D36"/>
    <w:rsid w:val="00EA5160"/>
    <w:rsid w:val="00EB4A78"/>
    <w:rsid w:val="00EC0B22"/>
    <w:rsid w:val="00ED26F2"/>
    <w:rsid w:val="00EE1032"/>
    <w:rsid w:val="00EE1E97"/>
    <w:rsid w:val="00EE592F"/>
    <w:rsid w:val="00EF2746"/>
    <w:rsid w:val="00F0018C"/>
    <w:rsid w:val="00F04345"/>
    <w:rsid w:val="00F076A6"/>
    <w:rsid w:val="00F10A38"/>
    <w:rsid w:val="00F10A8E"/>
    <w:rsid w:val="00F161D7"/>
    <w:rsid w:val="00F24ED8"/>
    <w:rsid w:val="00F37DC6"/>
    <w:rsid w:val="00F507DF"/>
    <w:rsid w:val="00F53E75"/>
    <w:rsid w:val="00F61B97"/>
    <w:rsid w:val="00F73445"/>
    <w:rsid w:val="00F76CB2"/>
    <w:rsid w:val="00F82725"/>
    <w:rsid w:val="00F86CF6"/>
    <w:rsid w:val="00F956D3"/>
    <w:rsid w:val="00FA0393"/>
    <w:rsid w:val="00FA12C0"/>
    <w:rsid w:val="00FA5700"/>
    <w:rsid w:val="00FB6004"/>
    <w:rsid w:val="00FC0674"/>
    <w:rsid w:val="00FD43B3"/>
    <w:rsid w:val="00FE1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2485</Words>
  <Characters>14960</Characters>
  <Application>Microsoft Office Word</Application>
  <DocSecurity>4</DocSecurity>
  <Lines>311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2</cp:revision>
  <dcterms:created xsi:type="dcterms:W3CDTF">2026-05-11T19:36:00Z</dcterms:created>
  <dcterms:modified xsi:type="dcterms:W3CDTF">2026-05-11T19:36:00Z</dcterms:modified>
</cp:coreProperties>
</file>