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49A113F">
                <wp:simplePos x="0" y="0"/>
                <wp:positionH relativeFrom="column">
                  <wp:posOffset>20320</wp:posOffset>
                </wp:positionH>
                <wp:positionV relativeFrom="paragraph">
                  <wp:posOffset>407035</wp:posOffset>
                </wp:positionV>
                <wp:extent cx="5775960" cy="19812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9812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24FF80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666AD4">
                              <w:rPr>
                                <w:rFonts w:ascii="Calibri" w:hAnsi="Calibri" w:cs="Calibri"/>
                                <w:b/>
                                <w:sz w:val="22"/>
                                <w:szCs w:val="22"/>
                              </w:rPr>
                              <w:t>6</w:t>
                            </w:r>
                          </w:p>
                          <w:p w14:paraId="458D1D24" w14:textId="32DA09A8"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666AD4">
                              <w:rPr>
                                <w:rFonts w:ascii="Calibri" w:hAnsi="Calibri" w:cs="Calibri"/>
                                <w:b/>
                                <w:sz w:val="22"/>
                                <w:szCs w:val="22"/>
                              </w:rPr>
                              <w:t xml:space="preserve">Green Cottage, 23 Langstone High Street, Havant </w:t>
                            </w:r>
                          </w:p>
                          <w:p w14:paraId="122D52D5" w14:textId="6D528419"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666AD4" w:rsidRPr="00666AD4">
                              <w:rPr>
                                <w:rFonts w:ascii="Calibri" w:hAnsi="Calibri" w:cs="Calibri"/>
                                <w:b/>
                                <w:sz w:val="22"/>
                                <w:szCs w:val="22"/>
                              </w:rPr>
                              <w:t>Listed Building Consent for proposed works to Green Cottage to include construction of new flint-clad seawall immediately seaward of existing boundary walls, provision of flood gate and reinforced footpath.</w:t>
                            </w:r>
                          </w:p>
                          <w:p w14:paraId="30CE3EED" w14:textId="7B8CF1B2" w:rsidR="0027172E" w:rsidRDefault="0027172E" w:rsidP="0027172E">
                            <w:pPr>
                              <w:pStyle w:val="Normal0"/>
                              <w:rPr>
                                <w:rFonts w:ascii="Calibri" w:hAnsi="Calibri" w:cs="Calibri"/>
                                <w:b/>
                                <w:sz w:val="22"/>
                                <w:szCs w:val="22"/>
                              </w:rPr>
                            </w:pPr>
                          </w:p>
                          <w:p w14:paraId="2E571721" w14:textId="33A17220" w:rsidR="0053182E" w:rsidRPr="0053182E" w:rsidRDefault="0053182E" w:rsidP="0053182E">
                            <w:pPr>
                              <w:pStyle w:val="Normal0"/>
                              <w:rPr>
                                <w:rFonts w:ascii="Calibri" w:hAnsi="Calibri" w:cs="Calibri"/>
                                <w:b/>
                                <w:sz w:val="22"/>
                                <w:szCs w:val="22"/>
                              </w:rPr>
                            </w:pP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6pt;margin-top:32.05pt;width:454.8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" fillcolor="#c1e4f5 [660]">
                <v:textbox>
                  <w:txbxContent>
                    <w:p w14:paraId="7546DDFA" w14:textId="69E11B1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0378D9">
                        <w:rPr>
                          <w:rFonts w:ascii="Calibri" w:hAnsi="Calibri" w:cs="Calibri"/>
                          <w:b/>
                          <w:sz w:val="22"/>
                          <w:szCs w:val="22"/>
                        </w:rPr>
                        <w:t>27/4/2026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24FF80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934BC3">
                        <w:rPr>
                          <w:rFonts w:ascii="Calibri" w:hAnsi="Calibri" w:cs="Calibri"/>
                          <w:b/>
                          <w:sz w:val="22"/>
                          <w:szCs w:val="22"/>
                        </w:rPr>
                        <w:t>17</w:t>
                      </w:r>
                      <w:r w:rsidR="00666AD4">
                        <w:rPr>
                          <w:rFonts w:ascii="Calibri" w:hAnsi="Calibri" w:cs="Calibri"/>
                          <w:b/>
                          <w:sz w:val="22"/>
                          <w:szCs w:val="22"/>
                        </w:rPr>
                        <w:t>6</w:t>
                      </w:r>
                    </w:p>
                    <w:p w14:paraId="458D1D24" w14:textId="32DA09A8"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666AD4">
                        <w:rPr>
                          <w:rFonts w:ascii="Calibri" w:hAnsi="Calibri" w:cs="Calibri"/>
                          <w:b/>
                          <w:sz w:val="22"/>
                          <w:szCs w:val="22"/>
                        </w:rPr>
                        <w:t xml:space="preserve">Green Cottage, 23 Langstone High Street, Havant </w:t>
                      </w:r>
                    </w:p>
                    <w:p w14:paraId="122D52D5" w14:textId="6D528419"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666AD4" w:rsidRPr="00666AD4">
                        <w:rPr>
                          <w:rFonts w:ascii="Calibri" w:hAnsi="Calibri" w:cs="Calibri"/>
                          <w:b/>
                          <w:sz w:val="22"/>
                          <w:szCs w:val="22"/>
                        </w:rPr>
                        <w:t>Listed Building Consent for proposed works to Green Cottage to include construction of new flint-clad seawall immediately seaward of existing boundary walls, provision of flood gate and reinforced footpath.</w:t>
                      </w:r>
                    </w:p>
                    <w:p w14:paraId="30CE3EED" w14:textId="7B8CF1B2" w:rsidR="0027172E" w:rsidRDefault="0027172E" w:rsidP="0027172E">
                      <w:pPr>
                        <w:pStyle w:val="Normal0"/>
                        <w:rPr>
                          <w:rFonts w:ascii="Calibri" w:hAnsi="Calibri" w:cs="Calibri"/>
                          <w:b/>
                          <w:sz w:val="22"/>
                          <w:szCs w:val="22"/>
                        </w:rPr>
                      </w:pPr>
                    </w:p>
                    <w:p w14:paraId="2E571721" w14:textId="33A17220" w:rsidR="0053182E" w:rsidRPr="0053182E" w:rsidRDefault="0053182E" w:rsidP="0053182E">
                      <w:pPr>
                        <w:pStyle w:val="Normal0"/>
                        <w:rPr>
                          <w:rFonts w:ascii="Calibri" w:hAnsi="Calibri" w:cs="Calibri"/>
                          <w:b/>
                          <w:sz w:val="22"/>
                          <w:szCs w:val="22"/>
                        </w:rPr>
                      </w:pPr>
                    </w:p>
                    <w:p w14:paraId="3EA736E9" w14:textId="49C58011" w:rsidR="00934BC3" w:rsidRPr="00934BC3" w:rsidRDefault="00934BC3" w:rsidP="00934BC3">
                      <w:pPr>
                        <w:pStyle w:val="Normal0"/>
                        <w:rPr>
                          <w:rFonts w:ascii="Calibri" w:hAnsi="Calibri" w:cs="Calibri"/>
                          <w:b/>
                          <w:sz w:val="22"/>
                          <w:szCs w:val="22"/>
                        </w:rPr>
                      </w:pPr>
                    </w:p>
                    <w:p w14:paraId="3473FDBA" w14:textId="2FF25200" w:rsidR="00C34A68" w:rsidRPr="00C34A68" w:rsidRDefault="00C34A68" w:rsidP="00C34A68">
                      <w:pPr>
                        <w:pStyle w:val="Normal0"/>
                        <w:rPr>
                          <w:rFonts w:ascii="Calibri" w:hAnsi="Calibri" w:cs="Calibri"/>
                          <w:b/>
                          <w:sz w:val="22"/>
                          <w:szCs w:val="22"/>
                        </w:rPr>
                      </w:pPr>
                    </w:p>
                    <w:p w14:paraId="28D5E4F3" w14:textId="3FBABDB0" w:rsidR="000D281E" w:rsidRPr="000D281E" w:rsidRDefault="000D281E" w:rsidP="000D281E">
                      <w:pPr>
                        <w:pStyle w:val="Normal0"/>
                        <w:rPr>
                          <w:rFonts w:ascii="Calibri" w:hAnsi="Calibri" w:cs="Calibri"/>
                          <w:b/>
                          <w:sz w:val="22"/>
                          <w:szCs w:val="22"/>
                        </w:rPr>
                      </w:pP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3A488B80" w14:textId="44F6B362" w:rsidR="008A4829" w:rsidRPr="009B54B5" w:rsidRDefault="008A4829" w:rsidP="008A4829">
      <w:pPr>
        <w:jc w:val="both"/>
        <w:rPr>
          <w:rFonts w:ascii="Calibri" w:hAnsi="Calibri" w:cs="Calibri"/>
          <w:sz w:val="22"/>
          <w:szCs w:val="22"/>
        </w:rPr>
      </w:pPr>
      <w:r w:rsidRPr="009B54B5">
        <w:rPr>
          <w:rFonts w:ascii="Calibri" w:hAnsi="Calibri" w:cs="Calibri"/>
          <w:sz w:val="22"/>
          <w:szCs w:val="22"/>
        </w:rPr>
        <w:t xml:space="preserve">The application site is located </w:t>
      </w:r>
      <w:r w:rsidR="00751307" w:rsidRPr="009B54B5">
        <w:rPr>
          <w:rFonts w:ascii="Calibri" w:hAnsi="Calibri" w:cs="Calibri"/>
          <w:sz w:val="22"/>
          <w:szCs w:val="22"/>
        </w:rPr>
        <w:t xml:space="preserve">along the eastern Chichester Harbour frontage, with </w:t>
      </w:r>
      <w:r w:rsidR="009B54B5" w:rsidRPr="009B54B5">
        <w:rPr>
          <w:rFonts w:ascii="Calibri" w:hAnsi="Calibri" w:cs="Calibri"/>
          <w:sz w:val="22"/>
          <w:szCs w:val="22"/>
        </w:rPr>
        <w:t>vehicular</w:t>
      </w:r>
      <w:r w:rsidR="00751307" w:rsidRPr="009B54B5">
        <w:rPr>
          <w:rFonts w:ascii="Calibri" w:hAnsi="Calibri" w:cs="Calibri"/>
          <w:sz w:val="22"/>
          <w:szCs w:val="22"/>
        </w:rPr>
        <w:t xml:space="preserve"> access from Langstone Road.</w:t>
      </w:r>
      <w:r w:rsidR="00352AA3">
        <w:rPr>
          <w:rFonts w:ascii="Calibri" w:hAnsi="Calibri" w:cs="Calibri"/>
          <w:sz w:val="22"/>
          <w:szCs w:val="22"/>
        </w:rPr>
        <w:t xml:space="preserve"> It comprises a </w:t>
      </w:r>
      <w:r w:rsidR="009B54B5" w:rsidRPr="009B54B5">
        <w:rPr>
          <w:rFonts w:ascii="Calibri" w:hAnsi="Calibri" w:cs="Calibri"/>
          <w:sz w:val="22"/>
          <w:szCs w:val="22"/>
        </w:rPr>
        <w:t>Grade II listed</w:t>
      </w:r>
      <w:r w:rsidR="00FA13E4">
        <w:rPr>
          <w:rFonts w:ascii="Calibri" w:hAnsi="Calibri" w:cs="Calibri"/>
          <w:sz w:val="22"/>
          <w:szCs w:val="22"/>
        </w:rPr>
        <w:t>,</w:t>
      </w:r>
      <w:r w:rsidR="009B54B5" w:rsidRPr="009B54B5">
        <w:rPr>
          <w:rFonts w:ascii="Calibri" w:hAnsi="Calibri" w:cs="Calibri"/>
          <w:sz w:val="22"/>
          <w:szCs w:val="22"/>
        </w:rPr>
        <w:t xml:space="preserve"> </w:t>
      </w:r>
      <w:r w:rsidR="001B6820">
        <w:rPr>
          <w:rFonts w:ascii="Calibri" w:hAnsi="Calibri" w:cs="Calibri"/>
          <w:sz w:val="22"/>
          <w:szCs w:val="22"/>
        </w:rPr>
        <w:t xml:space="preserve">residential </w:t>
      </w:r>
      <w:r w:rsidR="00FA13E4">
        <w:rPr>
          <w:rFonts w:ascii="Calibri" w:hAnsi="Calibri" w:cs="Calibri"/>
          <w:sz w:val="22"/>
          <w:szCs w:val="22"/>
        </w:rPr>
        <w:t xml:space="preserve">property. </w:t>
      </w:r>
      <w:r w:rsidRPr="009B54B5">
        <w:rPr>
          <w:rFonts w:ascii="Calibri" w:hAnsi="Calibri" w:cs="Calibri"/>
          <w:sz w:val="22"/>
          <w:szCs w:val="22"/>
        </w:rPr>
        <w:t xml:space="preserve">The listing description from Historic England is included below: </w:t>
      </w:r>
    </w:p>
    <w:p w14:paraId="59761722" w14:textId="524052C6" w:rsidR="008A4829" w:rsidRPr="001B6820" w:rsidRDefault="00666AD4" w:rsidP="008A4829">
      <w:pPr>
        <w:jc w:val="both"/>
        <w:rPr>
          <w:rFonts w:ascii="Calibri" w:hAnsi="Calibri" w:cs="Calibri"/>
          <w:i/>
          <w:iCs/>
          <w:sz w:val="22"/>
          <w:szCs w:val="22"/>
        </w:rPr>
      </w:pPr>
      <w:r w:rsidRPr="00666AD4">
        <w:rPr>
          <w:rFonts w:ascii="Calibri" w:hAnsi="Calibri" w:cs="Calibri"/>
          <w:i/>
          <w:iCs/>
          <w:sz w:val="22"/>
          <w:szCs w:val="22"/>
        </w:rPr>
        <w:t xml:space="preserve">‘House. Of C18 origin, but C19 and C20 exterior. Rendered and brick walls, tiled roof. 1 storey and attic, </w:t>
      </w:r>
      <w:r w:rsidRPr="001B6820">
        <w:rPr>
          <w:rFonts w:ascii="Calibri" w:hAnsi="Calibri" w:cs="Calibri"/>
          <w:i/>
          <w:iCs/>
          <w:sz w:val="22"/>
          <w:szCs w:val="22"/>
        </w:rPr>
        <w:t>2.3 windows. Hipped ½ dormers, late C20 casements and glazed door.’</w:t>
      </w:r>
    </w:p>
    <w:p w14:paraId="1AF80CEB" w14:textId="37F82925" w:rsidR="00C34A68" w:rsidRDefault="00FA13E4" w:rsidP="008A4829">
      <w:pPr>
        <w:jc w:val="both"/>
        <w:rPr>
          <w:rFonts w:ascii="Calibri" w:hAnsi="Calibri" w:cs="Calibri"/>
          <w:b/>
          <w:bCs/>
          <w:sz w:val="22"/>
          <w:szCs w:val="22"/>
        </w:rPr>
      </w:pPr>
      <w:r>
        <w:rPr>
          <w:rFonts w:ascii="Calibri" w:hAnsi="Calibri" w:cs="Calibri"/>
          <w:sz w:val="22"/>
          <w:szCs w:val="22"/>
        </w:rPr>
        <w:t xml:space="preserve">The property </w:t>
      </w:r>
      <w:r w:rsidR="00C727E9" w:rsidRPr="001B6820">
        <w:rPr>
          <w:rFonts w:ascii="Calibri" w:hAnsi="Calibri" w:cs="Calibri"/>
          <w:sz w:val="22"/>
          <w:szCs w:val="22"/>
        </w:rPr>
        <w:t xml:space="preserve">features a modern </w:t>
      </w:r>
      <w:r w:rsidR="00C608FA" w:rsidRPr="001B6820">
        <w:rPr>
          <w:rFonts w:ascii="Calibri" w:hAnsi="Calibri" w:cs="Calibri"/>
          <w:sz w:val="22"/>
          <w:szCs w:val="22"/>
        </w:rPr>
        <w:t>single</w:t>
      </w:r>
      <w:r w:rsidR="00C727E9" w:rsidRPr="001B6820">
        <w:rPr>
          <w:rFonts w:ascii="Calibri" w:hAnsi="Calibri" w:cs="Calibri"/>
          <w:sz w:val="22"/>
          <w:szCs w:val="22"/>
        </w:rPr>
        <w:t xml:space="preserve"> storey </w:t>
      </w:r>
      <w:r w:rsidR="00C608FA" w:rsidRPr="001B6820">
        <w:rPr>
          <w:rFonts w:ascii="Calibri" w:hAnsi="Calibri" w:cs="Calibri"/>
          <w:sz w:val="22"/>
          <w:szCs w:val="22"/>
        </w:rPr>
        <w:t>extension</w:t>
      </w:r>
      <w:r w:rsidR="00C727E9" w:rsidRPr="001B6820">
        <w:rPr>
          <w:rFonts w:ascii="Calibri" w:hAnsi="Calibri" w:cs="Calibri"/>
          <w:sz w:val="22"/>
          <w:szCs w:val="22"/>
        </w:rPr>
        <w:t xml:space="preserve"> on the south elevation</w:t>
      </w:r>
      <w:r w:rsidR="00AC4564">
        <w:rPr>
          <w:rFonts w:ascii="Calibri" w:hAnsi="Calibri" w:cs="Calibri"/>
          <w:sz w:val="22"/>
          <w:szCs w:val="22"/>
        </w:rPr>
        <w:t xml:space="preserve"> of the main listed building</w:t>
      </w:r>
      <w:r w:rsidR="00C727E9" w:rsidRPr="001B6820">
        <w:rPr>
          <w:rFonts w:ascii="Calibri" w:hAnsi="Calibri" w:cs="Calibri"/>
          <w:sz w:val="22"/>
          <w:szCs w:val="22"/>
        </w:rPr>
        <w:t xml:space="preserve"> and a detached</w:t>
      </w:r>
      <w:r w:rsidR="001B6820">
        <w:rPr>
          <w:rFonts w:ascii="Calibri" w:hAnsi="Calibri" w:cs="Calibri"/>
          <w:sz w:val="22"/>
          <w:szCs w:val="22"/>
        </w:rPr>
        <w:t>, post war</w:t>
      </w:r>
      <w:r w:rsidR="00C727E9" w:rsidRPr="001B6820">
        <w:rPr>
          <w:rFonts w:ascii="Calibri" w:hAnsi="Calibri" w:cs="Calibri"/>
          <w:sz w:val="22"/>
          <w:szCs w:val="22"/>
        </w:rPr>
        <w:t xml:space="preserve"> annexe to the south of this. </w:t>
      </w:r>
      <w:r w:rsidR="00C608FA" w:rsidRPr="001B6820">
        <w:rPr>
          <w:rFonts w:ascii="Calibri" w:hAnsi="Calibri" w:cs="Calibri"/>
          <w:sz w:val="22"/>
          <w:szCs w:val="22"/>
        </w:rPr>
        <w:t>The existing boundary with the harbour frontage includes</w:t>
      </w:r>
      <w:r w:rsidR="0057433B">
        <w:rPr>
          <w:rFonts w:ascii="Calibri" w:hAnsi="Calibri" w:cs="Calibri"/>
          <w:sz w:val="22"/>
          <w:szCs w:val="22"/>
        </w:rPr>
        <w:t xml:space="preserve"> a low</w:t>
      </w:r>
      <w:r w:rsidR="00EC6F0C">
        <w:rPr>
          <w:rFonts w:ascii="Calibri" w:hAnsi="Calibri" w:cs="Calibri"/>
          <w:sz w:val="22"/>
          <w:szCs w:val="22"/>
        </w:rPr>
        <w:t>-</w:t>
      </w:r>
      <w:r w:rsidR="0057433B">
        <w:rPr>
          <w:rFonts w:ascii="Calibri" w:hAnsi="Calibri" w:cs="Calibri"/>
          <w:sz w:val="22"/>
          <w:szCs w:val="22"/>
        </w:rPr>
        <w:t xml:space="preserve">level wall </w:t>
      </w:r>
      <w:r w:rsidR="00EC6F0C">
        <w:rPr>
          <w:rFonts w:ascii="Calibri" w:hAnsi="Calibri" w:cs="Calibri"/>
          <w:sz w:val="22"/>
          <w:szCs w:val="22"/>
        </w:rPr>
        <w:t>separating</w:t>
      </w:r>
      <w:r w:rsidR="003B0DBF">
        <w:rPr>
          <w:rFonts w:ascii="Calibri" w:hAnsi="Calibri" w:cs="Calibri"/>
          <w:sz w:val="22"/>
          <w:szCs w:val="22"/>
        </w:rPr>
        <w:t xml:space="preserve"> the site from the existing coastal path. To the east </w:t>
      </w:r>
      <w:r w:rsidR="00AC4564">
        <w:rPr>
          <w:rFonts w:ascii="Calibri" w:hAnsi="Calibri" w:cs="Calibri"/>
          <w:sz w:val="22"/>
          <w:szCs w:val="22"/>
        </w:rPr>
        <w:t xml:space="preserve">(seaward side) of the coastal path, is </w:t>
      </w:r>
      <w:r w:rsidR="003B0DBF">
        <w:rPr>
          <w:rFonts w:ascii="Calibri" w:hAnsi="Calibri" w:cs="Calibri"/>
          <w:sz w:val="22"/>
          <w:szCs w:val="22"/>
        </w:rPr>
        <w:t>a small piece of grassed land</w:t>
      </w:r>
      <w:r w:rsidR="002B6232">
        <w:rPr>
          <w:rFonts w:ascii="Calibri" w:hAnsi="Calibri" w:cs="Calibri"/>
          <w:sz w:val="22"/>
          <w:szCs w:val="22"/>
        </w:rPr>
        <w:t xml:space="preserve">, which </w:t>
      </w:r>
      <w:r w:rsidR="00655A28">
        <w:rPr>
          <w:rFonts w:ascii="Calibri" w:hAnsi="Calibri" w:cs="Calibri"/>
          <w:sz w:val="22"/>
          <w:szCs w:val="22"/>
        </w:rPr>
        <w:t xml:space="preserve">juts </w:t>
      </w:r>
      <w:r w:rsidR="002B6232">
        <w:rPr>
          <w:rFonts w:ascii="Calibri" w:hAnsi="Calibri" w:cs="Calibri"/>
          <w:sz w:val="22"/>
          <w:szCs w:val="22"/>
        </w:rPr>
        <w:t>out into the harbour</w:t>
      </w:r>
      <w:r w:rsidR="0027742A">
        <w:rPr>
          <w:rFonts w:ascii="Calibri" w:hAnsi="Calibri" w:cs="Calibri"/>
          <w:sz w:val="22"/>
          <w:szCs w:val="22"/>
        </w:rPr>
        <w:t xml:space="preserve">, and </w:t>
      </w:r>
      <w:r w:rsidR="003B0DBF">
        <w:rPr>
          <w:rFonts w:ascii="Calibri" w:hAnsi="Calibri" w:cs="Calibri"/>
          <w:sz w:val="22"/>
          <w:szCs w:val="22"/>
        </w:rPr>
        <w:t xml:space="preserve">is enclosed </w:t>
      </w:r>
      <w:r w:rsidR="002B6232">
        <w:rPr>
          <w:rFonts w:ascii="Calibri" w:hAnsi="Calibri" w:cs="Calibri"/>
          <w:sz w:val="22"/>
          <w:szCs w:val="22"/>
        </w:rPr>
        <w:t>by a wooden</w:t>
      </w:r>
      <w:r w:rsidR="003B0DBF">
        <w:rPr>
          <w:rFonts w:ascii="Calibri" w:hAnsi="Calibri" w:cs="Calibri"/>
          <w:sz w:val="22"/>
          <w:szCs w:val="22"/>
        </w:rPr>
        <w:t xml:space="preserve"> picket fence.</w:t>
      </w:r>
      <w:r w:rsidR="002B6232">
        <w:rPr>
          <w:rFonts w:ascii="Calibri" w:hAnsi="Calibri" w:cs="Calibri"/>
          <w:sz w:val="22"/>
          <w:szCs w:val="22"/>
        </w:rPr>
        <w:t xml:space="preserve"> </w:t>
      </w:r>
      <w:r w:rsidR="003B0DBF">
        <w:rPr>
          <w:rFonts w:ascii="Calibri" w:hAnsi="Calibri" w:cs="Calibri"/>
          <w:sz w:val="22"/>
          <w:szCs w:val="22"/>
        </w:rPr>
        <w:t xml:space="preserve">This </w:t>
      </w:r>
      <w:r w:rsidR="0027742A">
        <w:rPr>
          <w:rFonts w:ascii="Calibri" w:hAnsi="Calibri" w:cs="Calibri"/>
          <w:sz w:val="22"/>
          <w:szCs w:val="22"/>
        </w:rPr>
        <w:t xml:space="preserve">piece of land </w:t>
      </w:r>
      <w:r w:rsidR="003B0DBF">
        <w:rPr>
          <w:rFonts w:ascii="Calibri" w:hAnsi="Calibri" w:cs="Calibri"/>
          <w:sz w:val="22"/>
          <w:szCs w:val="22"/>
        </w:rPr>
        <w:t xml:space="preserve">is within the ownership of Green Cottage. </w:t>
      </w:r>
    </w:p>
    <w:p w14:paraId="6F8BE53F" w14:textId="24444FA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6493C6AF"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 xml:space="preserve">In assessing the proposal, the following legislation and policy framework has been </w:t>
      </w:r>
      <w:proofErr w:type="gramStart"/>
      <w:r w:rsidRPr="002B0935">
        <w:rPr>
          <w:rFonts w:ascii="Calibri" w:hAnsi="Calibri" w:cs="Calibri"/>
          <w:sz w:val="22"/>
          <w:szCs w:val="22"/>
        </w:rPr>
        <w:t>taken into account</w:t>
      </w:r>
      <w:proofErr w:type="gramEnd"/>
      <w:r w:rsidRPr="002B0935">
        <w:rPr>
          <w:rFonts w:ascii="Calibri" w:hAnsi="Calibri" w:cs="Calibri"/>
          <w:sz w:val="22"/>
          <w:szCs w:val="22"/>
        </w:rPr>
        <w:t>:</w:t>
      </w:r>
    </w:p>
    <w:p w14:paraId="143A1A4B" w14:textId="77777777" w:rsidR="008A4829" w:rsidRPr="002B0935" w:rsidRDefault="008A4829" w:rsidP="008A4829">
      <w:pPr>
        <w:jc w:val="both"/>
        <w:rPr>
          <w:rFonts w:ascii="Calibri" w:hAnsi="Calibri" w:cs="Calibri"/>
          <w:sz w:val="22"/>
          <w:szCs w:val="22"/>
        </w:rPr>
      </w:pPr>
      <w:r w:rsidRPr="002B0935">
        <w:rPr>
          <w:rFonts w:ascii="Calibri" w:hAnsi="Calibri" w:cs="Calibri"/>
          <w:sz w:val="22"/>
          <w:szCs w:val="22"/>
        </w:rPr>
        <w:t>Planning (Listed Buildings and Conservation Areas) Act 1990</w:t>
      </w:r>
    </w:p>
    <w:p w14:paraId="140F663F" w14:textId="77777777" w:rsidR="008A4829" w:rsidRPr="002B0935" w:rsidRDefault="008A4829" w:rsidP="008A4829">
      <w:pPr>
        <w:numPr>
          <w:ilvl w:val="0"/>
          <w:numId w:val="20"/>
        </w:numPr>
        <w:jc w:val="both"/>
        <w:rPr>
          <w:rFonts w:ascii="Calibri" w:hAnsi="Calibri" w:cs="Calibri"/>
          <w:sz w:val="22"/>
          <w:szCs w:val="22"/>
        </w:rPr>
      </w:pPr>
      <w:r w:rsidRPr="002B0935">
        <w:rPr>
          <w:rFonts w:ascii="Calibri" w:hAnsi="Calibri" w:cs="Calibri"/>
          <w:sz w:val="22"/>
          <w:szCs w:val="22"/>
        </w:rPr>
        <w:t>Section 16 of the Planning (Listed Buildings and Conservation Areas) Act 1990 requires local planning authorities, when considering whether to grant listed building consent, to have special regard to the desirability of preserving the listed building, its setting, and any features of special architectural or historic interest which it possesses.</w:t>
      </w:r>
    </w:p>
    <w:p w14:paraId="17DD080F" w14:textId="4989ECE1" w:rsidR="002A25D7" w:rsidRPr="00F956D3" w:rsidRDefault="002A25D7" w:rsidP="00F956D3">
      <w:pPr>
        <w:jc w:val="both"/>
        <w:rPr>
          <w:rFonts w:ascii="Calibri" w:hAnsi="Calibri" w:cs="Calibri"/>
          <w:sz w:val="22"/>
          <w:szCs w:val="22"/>
        </w:rPr>
      </w:pPr>
      <w:r w:rsidRPr="00F956D3">
        <w:rPr>
          <w:rFonts w:ascii="Calibri" w:hAnsi="Calibri" w:cs="Calibri"/>
          <w:b/>
          <w:bCs/>
          <w:sz w:val="22"/>
          <w:szCs w:val="22"/>
          <w:u w:val="single"/>
        </w:rPr>
        <w:t xml:space="preserve">National Planning Policy Framework </w:t>
      </w:r>
      <w:r w:rsidR="00B374C1" w:rsidRPr="00F956D3">
        <w:rPr>
          <w:rFonts w:ascii="Calibri" w:hAnsi="Calibri" w:cs="Calibri"/>
          <w:b/>
          <w:bCs/>
          <w:sz w:val="22"/>
          <w:szCs w:val="22"/>
          <w:u w:val="single"/>
        </w:rPr>
        <w:t>(revised</w:t>
      </w:r>
      <w:r w:rsidRPr="00F956D3">
        <w:rPr>
          <w:rFonts w:ascii="Calibri" w:hAnsi="Calibri" w:cs="Calibri"/>
          <w:b/>
          <w:bCs/>
          <w:sz w:val="22"/>
          <w:szCs w:val="22"/>
          <w:u w:val="single"/>
        </w:rPr>
        <w:t xml:space="preserve"> </w:t>
      </w:r>
      <w:r w:rsidR="00FA12C0" w:rsidRPr="00F956D3">
        <w:rPr>
          <w:rFonts w:ascii="Calibri" w:hAnsi="Calibri" w:cs="Calibri"/>
          <w:b/>
          <w:bCs/>
          <w:sz w:val="22"/>
          <w:szCs w:val="22"/>
          <w:u w:val="single"/>
        </w:rPr>
        <w:t>December</w:t>
      </w:r>
      <w:r w:rsidRPr="00F956D3">
        <w:rPr>
          <w:rFonts w:ascii="Calibri" w:hAnsi="Calibri" w:cs="Calibri"/>
          <w:b/>
          <w:bCs/>
          <w:sz w:val="22"/>
          <w:szCs w:val="22"/>
          <w:u w:val="single"/>
        </w:rPr>
        <w:t xml:space="preserve"> 202</w:t>
      </w:r>
      <w:r w:rsidR="00FA12C0" w:rsidRPr="00F956D3">
        <w:rPr>
          <w:rFonts w:ascii="Calibri" w:hAnsi="Calibri" w:cs="Calibri"/>
          <w:b/>
          <w:bCs/>
          <w:sz w:val="22"/>
          <w:szCs w:val="22"/>
          <w:u w:val="single"/>
        </w:rPr>
        <w:t>4</w:t>
      </w:r>
      <w:r w:rsidRPr="00F956D3">
        <w:rPr>
          <w:rFonts w:ascii="Calibri" w:hAnsi="Calibri" w:cs="Calibri"/>
          <w:b/>
          <w:bCs/>
          <w:sz w:val="22"/>
          <w:szCs w:val="22"/>
          <w:u w:val="single"/>
        </w:rPr>
        <w:t>)</w:t>
      </w:r>
    </w:p>
    <w:p w14:paraId="7E853341" w14:textId="77777777" w:rsidR="00EE1032" w:rsidRPr="00B74C5D" w:rsidRDefault="00EE1032" w:rsidP="00EE1032">
      <w:pPr>
        <w:jc w:val="both"/>
        <w:rPr>
          <w:rFonts w:ascii="Calibri" w:hAnsi="Calibri" w:cs="Calibri"/>
          <w:sz w:val="22"/>
          <w:szCs w:val="22"/>
        </w:rPr>
      </w:pPr>
      <w:r w:rsidRPr="00B74C5D">
        <w:rPr>
          <w:rFonts w:ascii="Calibri" w:hAnsi="Calibri" w:cs="Calibri"/>
          <w:sz w:val="22"/>
          <w:szCs w:val="22"/>
        </w:rPr>
        <w:t>Chapter 16 of the National Planning Policy Framework (NPPF) relates to Conserving and Enhancing the Historic Environment (paragraphs 202–221). The following policies are most relevant to the determination of this application:</w:t>
      </w:r>
    </w:p>
    <w:p w14:paraId="570C49A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212 states that:</w:t>
      </w:r>
    </w:p>
    <w:p w14:paraId="0D73AF32" w14:textId="77777777" w:rsidR="00EE1032" w:rsidRPr="00B74C5D" w:rsidRDefault="00EE1032" w:rsidP="00EE1032">
      <w:pPr>
        <w:jc w:val="both"/>
        <w:rPr>
          <w:rFonts w:ascii="Calibri" w:hAnsi="Calibri" w:cs="Calibri"/>
          <w:b/>
          <w:bCs/>
          <w:sz w:val="22"/>
          <w:szCs w:val="22"/>
          <w:u w:val="single"/>
        </w:rPr>
      </w:pPr>
      <w:r w:rsidRPr="00B74C5D">
        <w:rPr>
          <w:rFonts w:ascii="Calibri" w:hAnsi="Calibri" w:cs="Calibri"/>
          <w:i/>
          <w:iCs/>
          <w:sz w:val="22"/>
          <w:szCs w:val="22"/>
        </w:rPr>
        <w:t xml:space="preserve">“When considering the impact of a proposed development on the significance of a designated heritage asset, great weight should be given to the asset’s conservation (and the more important the asset, the </w:t>
      </w:r>
      <w:r w:rsidRPr="00B74C5D">
        <w:rPr>
          <w:rFonts w:ascii="Calibri" w:hAnsi="Calibri" w:cs="Calibri"/>
          <w:i/>
          <w:iCs/>
          <w:sz w:val="22"/>
          <w:szCs w:val="22"/>
        </w:rPr>
        <w:lastRenderedPageBreak/>
        <w:t>greater the weight should be). This is irrespective of whether any potential harm amounts to substantial harm, total loss or less than substantial harm to its significance.”</w:t>
      </w:r>
    </w:p>
    <w:p w14:paraId="2A14C4DE"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214 states that:</w:t>
      </w:r>
    </w:p>
    <w:p w14:paraId="79D138DC" w14:textId="77777777" w:rsidR="00EE1032" w:rsidRPr="00B74C5D" w:rsidRDefault="00EE1032" w:rsidP="00EE1032">
      <w:pPr>
        <w:jc w:val="both"/>
        <w:rPr>
          <w:rFonts w:ascii="Calibri" w:hAnsi="Calibri" w:cs="Calibri"/>
          <w:sz w:val="22"/>
          <w:szCs w:val="22"/>
        </w:rPr>
      </w:pPr>
      <w:r w:rsidRPr="00B74C5D">
        <w:rPr>
          <w:rFonts w:ascii="Calibri" w:hAnsi="Calibri" w:cs="Calibri"/>
          <w:i/>
          <w:iCs/>
          <w:sz w:val="22"/>
          <w:szCs w:val="22"/>
        </w:rPr>
        <w:t>“Where a development will lead to substantial harm to, or total loss of, the significance of a designated heritage asset, permission should be refused, unless it can be demonstrated that the harm is necessary to achieve substantial public benefits, or certain specified criteria are met.”</w:t>
      </w:r>
    </w:p>
    <w:p w14:paraId="6A7F434F" w14:textId="77777777" w:rsidR="00EE1032" w:rsidRPr="00B74C5D" w:rsidRDefault="00EE1032" w:rsidP="00EE1032">
      <w:pPr>
        <w:numPr>
          <w:ilvl w:val="0"/>
          <w:numId w:val="21"/>
        </w:numPr>
        <w:jc w:val="both"/>
        <w:rPr>
          <w:rFonts w:ascii="Calibri" w:hAnsi="Calibri" w:cs="Calibri"/>
          <w:sz w:val="22"/>
          <w:szCs w:val="22"/>
        </w:rPr>
      </w:pPr>
      <w:r w:rsidRPr="00B74C5D">
        <w:rPr>
          <w:rFonts w:ascii="Calibri" w:hAnsi="Calibri" w:cs="Calibri"/>
          <w:sz w:val="22"/>
          <w:szCs w:val="22"/>
        </w:rPr>
        <w:t>Paragraph 215 states that:</w:t>
      </w:r>
    </w:p>
    <w:p w14:paraId="23445738" w14:textId="12222B5E" w:rsidR="00F956D3" w:rsidRPr="00EE1032" w:rsidRDefault="00EE1032" w:rsidP="00B12D34">
      <w:pPr>
        <w:jc w:val="both"/>
        <w:rPr>
          <w:rFonts w:ascii="Calibri" w:hAnsi="Calibri" w:cs="Calibri"/>
          <w:sz w:val="22"/>
          <w:szCs w:val="22"/>
        </w:rPr>
      </w:pPr>
      <w:r w:rsidRPr="00B74C5D">
        <w:rPr>
          <w:rFonts w:ascii="Calibri" w:hAnsi="Calibri" w:cs="Calibri"/>
          <w:i/>
          <w:iCs/>
          <w:sz w:val="22"/>
          <w:szCs w:val="22"/>
        </w:rPr>
        <w:t>“Where a development proposal will lead to less than substantial harm to the significance of a designated heritage asset, this harm should be weighed against the public benefits of the proposal, including, where appropriate, securing its optimum viable use.”</w:t>
      </w:r>
    </w:p>
    <w:p w14:paraId="2DCC8E94" w14:textId="6F336F5E"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lastRenderedPageBreak/>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35A68B7" w14:textId="2AA0903E" w:rsidR="008F0842" w:rsidRDefault="008F0842" w:rsidP="008F0842">
      <w:pPr>
        <w:jc w:val="both"/>
        <w:rPr>
          <w:rFonts w:ascii="Calibri" w:hAnsi="Calibri" w:cs="Calibri"/>
          <w:sz w:val="22"/>
          <w:szCs w:val="22"/>
          <w:u w:val="single"/>
        </w:rPr>
      </w:pPr>
      <w:r w:rsidRPr="008F0842">
        <w:rPr>
          <w:rFonts w:ascii="Calibri" w:hAnsi="Calibri" w:cs="Calibri"/>
          <w:sz w:val="22"/>
          <w:szCs w:val="22"/>
          <w:u w:val="single"/>
        </w:rPr>
        <w:t>Scope of the Listed Building Consent</w:t>
      </w:r>
      <w:r w:rsidR="00DF2FB3">
        <w:rPr>
          <w:rFonts w:ascii="Calibri" w:hAnsi="Calibri" w:cs="Calibri"/>
          <w:sz w:val="22"/>
          <w:szCs w:val="22"/>
          <w:u w:val="single"/>
        </w:rPr>
        <w:t xml:space="preserve"> (LBC)</w:t>
      </w:r>
    </w:p>
    <w:p w14:paraId="0A0C6020" w14:textId="77777777" w:rsidR="007B7617" w:rsidRPr="007B7617" w:rsidRDefault="007B7617" w:rsidP="007B7617">
      <w:pPr>
        <w:jc w:val="both"/>
        <w:rPr>
          <w:rFonts w:ascii="Calibri" w:hAnsi="Calibri" w:cs="Calibri"/>
          <w:sz w:val="22"/>
          <w:szCs w:val="22"/>
        </w:rPr>
      </w:pPr>
      <w:r w:rsidRPr="007B7617">
        <w:rPr>
          <w:rFonts w:ascii="Calibri" w:hAnsi="Calibri" w:cs="Calibri"/>
          <w:sz w:val="22"/>
          <w:szCs w:val="22"/>
        </w:rPr>
        <w:t>This Listed Building Consent application relates to works affecting the curtilage and boundary structures associated with Green Cottage, a listed building, rather than to the fabric of the listed building itself.</w:t>
      </w:r>
    </w:p>
    <w:p w14:paraId="17D05D4E" w14:textId="77777777" w:rsidR="007B7617" w:rsidRPr="007B7617" w:rsidRDefault="007B7617" w:rsidP="007B7617">
      <w:pPr>
        <w:jc w:val="both"/>
        <w:rPr>
          <w:rFonts w:ascii="Calibri" w:hAnsi="Calibri" w:cs="Calibri"/>
          <w:sz w:val="22"/>
          <w:szCs w:val="22"/>
        </w:rPr>
      </w:pPr>
      <w:r w:rsidRPr="007B7617">
        <w:rPr>
          <w:rFonts w:ascii="Calibri" w:hAnsi="Calibri" w:cs="Calibri"/>
          <w:sz w:val="22"/>
          <w:szCs w:val="22"/>
        </w:rPr>
        <w:t>The proposed works comprise the construction of a new flint</w:t>
      </w:r>
      <w:r w:rsidRPr="007B7617">
        <w:rPr>
          <w:rFonts w:ascii="Calibri" w:hAnsi="Calibri" w:cs="Calibri"/>
          <w:sz w:val="22"/>
          <w:szCs w:val="22"/>
        </w:rPr>
        <w:noBreakHyphen/>
        <w:t>clad seawall immediately seaward of the existing boundary wall, together with a timber flood gate and a reinforced coastal footpath, forming part of the wider flood defence scheme.</w:t>
      </w:r>
    </w:p>
    <w:p w14:paraId="2F983D39" w14:textId="4A51EA8A" w:rsidR="007B7617" w:rsidRPr="007B7617" w:rsidRDefault="00EB1897" w:rsidP="007B7617">
      <w:pPr>
        <w:jc w:val="both"/>
        <w:rPr>
          <w:rFonts w:ascii="Calibri" w:hAnsi="Calibri" w:cs="Calibri"/>
          <w:sz w:val="22"/>
          <w:szCs w:val="22"/>
        </w:rPr>
      </w:pPr>
      <w:r w:rsidRPr="00EB1897">
        <w:rPr>
          <w:rFonts w:ascii="Calibri" w:hAnsi="Calibri" w:cs="Calibri"/>
          <w:sz w:val="22"/>
          <w:szCs w:val="22"/>
        </w:rPr>
        <w:t>Listed Building Consent is required as the proposed works affect a boundary structure directly adjoining the listed building and forming part of its immediate curtilage.</w:t>
      </w:r>
    </w:p>
    <w:p w14:paraId="1A0C2310" w14:textId="73F6F77D" w:rsidR="006C65CA" w:rsidRPr="009E765C" w:rsidRDefault="007B7617" w:rsidP="0064516A">
      <w:pPr>
        <w:jc w:val="both"/>
        <w:rPr>
          <w:rFonts w:ascii="Calibri" w:hAnsi="Calibri" w:cs="Calibri"/>
          <w:sz w:val="22"/>
          <w:szCs w:val="22"/>
        </w:rPr>
      </w:pPr>
      <w:r w:rsidRPr="007B7617">
        <w:rPr>
          <w:rFonts w:ascii="Calibri" w:hAnsi="Calibri" w:cs="Calibri"/>
          <w:sz w:val="22"/>
          <w:szCs w:val="22"/>
        </w:rPr>
        <w:t>The assessment therefore focuses on whether the works would affect the special architectural and historic interest of Green Cottage, in accordance with Section 16 of the Planning (Listed Buildings and Conservation Areas) Act 1990.</w:t>
      </w:r>
      <w:r w:rsidR="001047B6">
        <w:rPr>
          <w:rFonts w:ascii="Calibri" w:hAnsi="Calibri" w:cs="Calibri"/>
          <w:sz w:val="22"/>
          <w:szCs w:val="22"/>
        </w:rPr>
        <w:t xml:space="preserve"> </w:t>
      </w:r>
      <w:r w:rsidR="0064516A" w:rsidRPr="0064516A">
        <w:rPr>
          <w:rFonts w:ascii="Calibri" w:hAnsi="Calibri" w:cs="Calibri"/>
          <w:sz w:val="22"/>
          <w:szCs w:val="22"/>
        </w:rPr>
        <w:t xml:space="preserve">The application does not seek consent for wider changes to the setting </w:t>
      </w:r>
      <w:r w:rsidR="00291625">
        <w:rPr>
          <w:rFonts w:ascii="Calibri" w:hAnsi="Calibri" w:cs="Calibri"/>
          <w:sz w:val="22"/>
          <w:szCs w:val="22"/>
        </w:rPr>
        <w:t xml:space="preserve">of Green Cottage, </w:t>
      </w:r>
      <w:r w:rsidR="0064516A" w:rsidRPr="0064516A">
        <w:rPr>
          <w:rFonts w:ascii="Calibri" w:hAnsi="Calibri" w:cs="Calibri"/>
          <w:sz w:val="22"/>
          <w:szCs w:val="22"/>
        </w:rPr>
        <w:t xml:space="preserve">which </w:t>
      </w:r>
      <w:r w:rsidR="00ED26F2">
        <w:rPr>
          <w:rFonts w:ascii="Calibri" w:hAnsi="Calibri" w:cs="Calibri"/>
          <w:sz w:val="22"/>
          <w:szCs w:val="22"/>
        </w:rPr>
        <w:t>is</w:t>
      </w:r>
      <w:r w:rsidR="0064516A" w:rsidRPr="0064516A">
        <w:rPr>
          <w:rFonts w:ascii="Calibri" w:hAnsi="Calibri" w:cs="Calibri"/>
          <w:sz w:val="22"/>
          <w:szCs w:val="22"/>
        </w:rPr>
        <w:t xml:space="preserve"> considered separately under the associated planning application</w:t>
      </w:r>
      <w:r w:rsidR="000D1230" w:rsidRPr="000D1230">
        <w:rPr>
          <w:rFonts w:ascii="Calibri" w:hAnsi="Calibri" w:cs="Calibri"/>
          <w:sz w:val="22"/>
          <w:szCs w:val="22"/>
        </w:rPr>
        <w:t xml:space="preserve"> (APP/25/00162)</w:t>
      </w:r>
      <w:r w:rsidR="0064516A" w:rsidRPr="0064516A">
        <w:rPr>
          <w:rFonts w:ascii="Calibri" w:hAnsi="Calibri" w:cs="Calibri"/>
          <w:sz w:val="22"/>
          <w:szCs w:val="22"/>
        </w:rPr>
        <w:t>.</w:t>
      </w:r>
    </w:p>
    <w:p w14:paraId="129B317C" w14:textId="59512BDA" w:rsidR="008F0842" w:rsidRDefault="00A05251" w:rsidP="0064516A">
      <w:pPr>
        <w:jc w:val="both"/>
        <w:rPr>
          <w:rFonts w:ascii="Calibri" w:hAnsi="Calibri" w:cs="Calibri"/>
          <w:sz w:val="22"/>
          <w:szCs w:val="22"/>
          <w:u w:val="single"/>
        </w:rPr>
      </w:pPr>
      <w:r w:rsidRPr="00A05251">
        <w:rPr>
          <w:rFonts w:ascii="Calibri" w:hAnsi="Calibri" w:cs="Calibri"/>
          <w:sz w:val="22"/>
          <w:szCs w:val="22"/>
          <w:u w:val="single"/>
        </w:rPr>
        <w:t>Significance of the Listed Building (and Curtilage)</w:t>
      </w:r>
    </w:p>
    <w:p w14:paraId="10847ED5" w14:textId="6D635F9F" w:rsidR="00646E3F" w:rsidRPr="00646E3F" w:rsidRDefault="00646E3F" w:rsidP="00646E3F">
      <w:pPr>
        <w:jc w:val="both"/>
        <w:rPr>
          <w:rFonts w:ascii="Calibri" w:hAnsi="Calibri" w:cs="Calibri"/>
          <w:sz w:val="22"/>
          <w:szCs w:val="22"/>
        </w:rPr>
      </w:pPr>
      <w:r w:rsidRPr="00646E3F">
        <w:rPr>
          <w:rFonts w:ascii="Calibri" w:hAnsi="Calibri" w:cs="Calibri"/>
          <w:sz w:val="22"/>
          <w:szCs w:val="22"/>
        </w:rPr>
        <w:t xml:space="preserve">Green Cottage is a listed residential building whose significance derives from its architectural interest, </w:t>
      </w:r>
      <w:r w:rsidR="00281A0E">
        <w:rPr>
          <w:rFonts w:ascii="Calibri" w:hAnsi="Calibri" w:cs="Calibri"/>
          <w:sz w:val="22"/>
          <w:szCs w:val="22"/>
        </w:rPr>
        <w:t xml:space="preserve">and </w:t>
      </w:r>
      <w:r w:rsidRPr="00646E3F">
        <w:rPr>
          <w:rFonts w:ascii="Calibri" w:hAnsi="Calibri" w:cs="Calibri"/>
          <w:sz w:val="22"/>
          <w:szCs w:val="22"/>
        </w:rPr>
        <w:t>historic fabric, together with its long</w:t>
      </w:r>
      <w:r w:rsidRPr="00646E3F">
        <w:rPr>
          <w:rFonts w:ascii="Calibri" w:hAnsi="Calibri" w:cs="Calibri"/>
          <w:sz w:val="22"/>
          <w:szCs w:val="22"/>
        </w:rPr>
        <w:noBreakHyphen/>
        <w:t xml:space="preserve">standing relationship with the </w:t>
      </w:r>
      <w:r w:rsidR="00281A0E">
        <w:rPr>
          <w:rFonts w:ascii="Calibri" w:hAnsi="Calibri" w:cs="Calibri"/>
          <w:sz w:val="22"/>
          <w:szCs w:val="22"/>
        </w:rPr>
        <w:t>Chichester H</w:t>
      </w:r>
      <w:r w:rsidRPr="00646E3F">
        <w:rPr>
          <w:rFonts w:ascii="Calibri" w:hAnsi="Calibri" w:cs="Calibri"/>
          <w:sz w:val="22"/>
          <w:szCs w:val="22"/>
        </w:rPr>
        <w:t xml:space="preserve">arbour frontage. The building exemplifies the character of </w:t>
      </w:r>
      <w:r w:rsidR="005E418C">
        <w:rPr>
          <w:rFonts w:ascii="Calibri" w:hAnsi="Calibri" w:cs="Calibri"/>
          <w:sz w:val="22"/>
          <w:szCs w:val="22"/>
        </w:rPr>
        <w:t xml:space="preserve">a </w:t>
      </w:r>
      <w:r w:rsidRPr="00646E3F">
        <w:rPr>
          <w:rFonts w:ascii="Calibri" w:hAnsi="Calibri" w:cs="Calibri"/>
          <w:sz w:val="22"/>
          <w:szCs w:val="22"/>
        </w:rPr>
        <w:t>historic coastal dwelling</w:t>
      </w:r>
      <w:r w:rsidR="005E418C">
        <w:rPr>
          <w:rFonts w:ascii="Calibri" w:hAnsi="Calibri" w:cs="Calibri"/>
          <w:sz w:val="22"/>
          <w:szCs w:val="22"/>
        </w:rPr>
        <w:t xml:space="preserve">, </w:t>
      </w:r>
      <w:r w:rsidRPr="00646E3F">
        <w:rPr>
          <w:rFonts w:ascii="Calibri" w:hAnsi="Calibri" w:cs="Calibri"/>
          <w:sz w:val="22"/>
          <w:szCs w:val="22"/>
        </w:rPr>
        <w:t>occupying a prominent position along the harbour edge.</w:t>
      </w:r>
    </w:p>
    <w:p w14:paraId="46027916" w14:textId="77777777" w:rsidR="00646E3F" w:rsidRPr="00646E3F" w:rsidRDefault="00646E3F" w:rsidP="00646E3F">
      <w:pPr>
        <w:jc w:val="both"/>
        <w:rPr>
          <w:rFonts w:ascii="Calibri" w:hAnsi="Calibri" w:cs="Calibri"/>
          <w:sz w:val="22"/>
          <w:szCs w:val="22"/>
        </w:rPr>
      </w:pPr>
      <w:r w:rsidRPr="00646E3F">
        <w:rPr>
          <w:rFonts w:ascii="Calibri" w:hAnsi="Calibri" w:cs="Calibri"/>
          <w:sz w:val="22"/>
          <w:szCs w:val="22"/>
        </w:rPr>
        <w:t>The special architectural and historic interest of Green Cottage is primarily expressed through its form, materials, proportions and fenestration, and through its historic and continuing use as a private dwelling rather than a public or commercial building. Its significance lies chiefly in the survival and legibility of the historic building itself, rather than in later additions or ancillary boundary features.</w:t>
      </w:r>
    </w:p>
    <w:p w14:paraId="67EC144F" w14:textId="464F4FE6" w:rsidR="00646E3F" w:rsidRPr="00646E3F" w:rsidRDefault="00646E3F" w:rsidP="00646E3F">
      <w:pPr>
        <w:jc w:val="both"/>
        <w:rPr>
          <w:rFonts w:ascii="Calibri" w:hAnsi="Calibri" w:cs="Calibri"/>
          <w:sz w:val="22"/>
          <w:szCs w:val="22"/>
        </w:rPr>
      </w:pPr>
      <w:r w:rsidRPr="00646E3F">
        <w:rPr>
          <w:rFonts w:ascii="Calibri" w:hAnsi="Calibri" w:cs="Calibri"/>
          <w:sz w:val="22"/>
          <w:szCs w:val="22"/>
        </w:rPr>
        <w:t>The harbour</w:t>
      </w:r>
      <w:r w:rsidRPr="00646E3F">
        <w:rPr>
          <w:rFonts w:ascii="Calibri" w:hAnsi="Calibri" w:cs="Calibri"/>
          <w:sz w:val="22"/>
          <w:szCs w:val="22"/>
        </w:rPr>
        <w:noBreakHyphen/>
        <w:t>side curtilage of Green Cottage, including its seaward boundary and adjacent edge spaces, contribute to the context in which the listed building is experienced, forming the interface between the private domestic realm and the wider harbour</w:t>
      </w:r>
      <w:r w:rsidR="00A57F18">
        <w:rPr>
          <w:rFonts w:ascii="Calibri" w:hAnsi="Calibri" w:cs="Calibri"/>
          <w:sz w:val="22"/>
          <w:szCs w:val="22"/>
        </w:rPr>
        <w:t xml:space="preserve"> landscape</w:t>
      </w:r>
      <w:r w:rsidRPr="00646E3F">
        <w:rPr>
          <w:rFonts w:ascii="Calibri" w:hAnsi="Calibri" w:cs="Calibri"/>
          <w:sz w:val="22"/>
          <w:szCs w:val="22"/>
        </w:rPr>
        <w:t>. These areas are characterised by simple</w:t>
      </w:r>
      <w:r w:rsidR="0083220D">
        <w:rPr>
          <w:rFonts w:ascii="Calibri" w:hAnsi="Calibri" w:cs="Calibri"/>
          <w:sz w:val="22"/>
          <w:szCs w:val="22"/>
        </w:rPr>
        <w:t xml:space="preserve"> </w:t>
      </w:r>
      <w:r w:rsidRPr="00646E3F">
        <w:rPr>
          <w:rFonts w:ascii="Calibri" w:hAnsi="Calibri" w:cs="Calibri"/>
          <w:sz w:val="22"/>
          <w:szCs w:val="22"/>
        </w:rPr>
        <w:t>boundary treatments</w:t>
      </w:r>
      <w:r w:rsidR="0083220D">
        <w:rPr>
          <w:rFonts w:ascii="Calibri" w:hAnsi="Calibri" w:cs="Calibri"/>
          <w:sz w:val="22"/>
          <w:szCs w:val="22"/>
        </w:rPr>
        <w:t xml:space="preserve">. </w:t>
      </w:r>
      <w:r w:rsidRPr="00646E3F">
        <w:rPr>
          <w:rFonts w:ascii="Calibri" w:hAnsi="Calibri" w:cs="Calibri"/>
          <w:sz w:val="22"/>
          <w:szCs w:val="22"/>
        </w:rPr>
        <w:t xml:space="preserve"> While such elements are not of high intrinsic architectural value, they </w:t>
      </w:r>
      <w:r w:rsidRPr="00646E3F">
        <w:rPr>
          <w:rFonts w:ascii="Calibri" w:hAnsi="Calibri" w:cs="Calibri"/>
          <w:sz w:val="22"/>
          <w:szCs w:val="22"/>
        </w:rPr>
        <w:lastRenderedPageBreak/>
        <w:t>provide a setting that supports the understanding of the listed building’s relationship with the harbour environment.</w:t>
      </w:r>
    </w:p>
    <w:p w14:paraId="7AECB37F" w14:textId="6CE215BA" w:rsidR="00BA04C6" w:rsidRPr="00EF2E0A" w:rsidRDefault="00646E3F" w:rsidP="00CB0A4B">
      <w:pPr>
        <w:jc w:val="both"/>
        <w:rPr>
          <w:rFonts w:ascii="Calibri" w:hAnsi="Calibri" w:cs="Calibri"/>
          <w:sz w:val="22"/>
          <w:szCs w:val="22"/>
        </w:rPr>
      </w:pPr>
      <w:r w:rsidRPr="00646E3F">
        <w:rPr>
          <w:rFonts w:ascii="Calibri" w:hAnsi="Calibri" w:cs="Calibri"/>
          <w:sz w:val="22"/>
          <w:szCs w:val="22"/>
        </w:rPr>
        <w:t>Overall, the significance of Green Cottage rests principally in the preservation of its built fabric and domestic character, with the harbour</w:t>
      </w:r>
      <w:r w:rsidRPr="00646E3F">
        <w:rPr>
          <w:rFonts w:ascii="Calibri" w:hAnsi="Calibri" w:cs="Calibri"/>
          <w:sz w:val="22"/>
          <w:szCs w:val="22"/>
        </w:rPr>
        <w:noBreakHyphen/>
        <w:t>side curtilage playing a secondary and contextual role in framing its relationship with the waterfront, rather than defining its architectural or historic interest.</w:t>
      </w:r>
    </w:p>
    <w:p w14:paraId="4F1737E5" w14:textId="77777777" w:rsidR="000A3ED3" w:rsidRDefault="000A3ED3" w:rsidP="000A3ED3">
      <w:pPr>
        <w:jc w:val="both"/>
        <w:rPr>
          <w:rFonts w:ascii="Calibri" w:hAnsi="Calibri" w:cs="Calibri"/>
          <w:sz w:val="22"/>
          <w:szCs w:val="22"/>
          <w:u w:val="single"/>
        </w:rPr>
      </w:pPr>
      <w:r w:rsidRPr="000A3ED3">
        <w:rPr>
          <w:rFonts w:ascii="Calibri" w:hAnsi="Calibri" w:cs="Calibri"/>
          <w:sz w:val="22"/>
          <w:szCs w:val="22"/>
          <w:u w:val="single"/>
        </w:rPr>
        <w:t>Description of the Proposed Works</w:t>
      </w:r>
    </w:p>
    <w:p w14:paraId="344A9949" w14:textId="77777777" w:rsidR="00943648" w:rsidRPr="00943648" w:rsidRDefault="00943648" w:rsidP="00943648">
      <w:pPr>
        <w:jc w:val="both"/>
        <w:rPr>
          <w:rFonts w:ascii="Calibri" w:hAnsi="Calibri" w:cs="Calibri"/>
          <w:sz w:val="22"/>
          <w:szCs w:val="22"/>
        </w:rPr>
      </w:pPr>
      <w:r w:rsidRPr="00943648">
        <w:rPr>
          <w:rFonts w:ascii="Calibri" w:hAnsi="Calibri" w:cs="Calibri"/>
          <w:sz w:val="22"/>
          <w:szCs w:val="22"/>
        </w:rPr>
        <w:t>The Listed Building Consent application seeks approval for the construction of a new flint</w:t>
      </w:r>
      <w:r w:rsidRPr="00943648">
        <w:rPr>
          <w:rFonts w:ascii="Calibri" w:hAnsi="Calibri" w:cs="Calibri"/>
          <w:sz w:val="22"/>
          <w:szCs w:val="22"/>
        </w:rPr>
        <w:noBreakHyphen/>
        <w:t>clad seawall immediately seaward of the existing boundary wall to Green Cottage, together with the provision of a timber flood gate and a reinforced coastal footpath, as part of the wider flood defence scheme.</w:t>
      </w:r>
    </w:p>
    <w:p w14:paraId="16F32052" w14:textId="7FF2907B" w:rsidR="00BB4BB5" w:rsidRPr="00943648" w:rsidRDefault="00943648" w:rsidP="000A3ED3">
      <w:pPr>
        <w:jc w:val="both"/>
        <w:rPr>
          <w:rFonts w:ascii="Calibri" w:hAnsi="Calibri" w:cs="Calibri"/>
          <w:sz w:val="22"/>
          <w:szCs w:val="22"/>
        </w:rPr>
      </w:pPr>
      <w:r w:rsidRPr="00943648">
        <w:rPr>
          <w:rFonts w:ascii="Calibri" w:hAnsi="Calibri" w:cs="Calibri"/>
          <w:sz w:val="22"/>
          <w:szCs w:val="22"/>
        </w:rPr>
        <w:t>The proposals do not include any alterations to the fabric, elevations or architectural features of Green Cottage itself. Works are confined to the seaward boundary and adjacent areas forming part of the immediate curtilage relationship with the harbour.</w:t>
      </w:r>
      <w:r w:rsidR="00BA70ED">
        <w:rPr>
          <w:rFonts w:ascii="Calibri" w:hAnsi="Calibri" w:cs="Calibri"/>
          <w:sz w:val="22"/>
          <w:szCs w:val="22"/>
        </w:rPr>
        <w:t xml:space="preserve"> </w:t>
      </w:r>
    </w:p>
    <w:p w14:paraId="1380F92B" w14:textId="77777777" w:rsidR="00F53E75" w:rsidRDefault="00F53E75" w:rsidP="00F53E75">
      <w:pPr>
        <w:jc w:val="both"/>
        <w:rPr>
          <w:rFonts w:ascii="Calibri" w:hAnsi="Calibri" w:cs="Calibri"/>
          <w:sz w:val="22"/>
          <w:szCs w:val="22"/>
          <w:u w:val="single"/>
        </w:rPr>
      </w:pPr>
      <w:r w:rsidRPr="00F53E75">
        <w:rPr>
          <w:rFonts w:ascii="Calibri" w:hAnsi="Calibri" w:cs="Calibri"/>
          <w:sz w:val="22"/>
          <w:szCs w:val="22"/>
          <w:u w:val="single"/>
        </w:rPr>
        <w:t>Assessment of Impact on the Listed Buildings</w:t>
      </w:r>
    </w:p>
    <w:p w14:paraId="4008A3FB" w14:textId="77777777" w:rsidR="001402A4" w:rsidRPr="001402A4" w:rsidRDefault="001402A4" w:rsidP="001402A4">
      <w:pPr>
        <w:jc w:val="both"/>
        <w:rPr>
          <w:rFonts w:ascii="Calibri" w:hAnsi="Calibri" w:cs="Calibri"/>
          <w:sz w:val="22"/>
          <w:szCs w:val="22"/>
        </w:rPr>
      </w:pPr>
      <w:r w:rsidRPr="001402A4">
        <w:rPr>
          <w:rFonts w:ascii="Calibri" w:hAnsi="Calibri" w:cs="Calibri"/>
          <w:sz w:val="22"/>
          <w:szCs w:val="22"/>
        </w:rPr>
        <w:t>The principal consideration for this Listed Building Consent is whether the proposed works to the seaward edge of Green Cottage’s curtilage would affect the special architectural and historic interest of the listed building.</w:t>
      </w:r>
    </w:p>
    <w:p w14:paraId="2687A82E" w14:textId="77777777" w:rsidR="001402A4" w:rsidRPr="001402A4" w:rsidRDefault="001402A4" w:rsidP="001402A4">
      <w:pPr>
        <w:jc w:val="both"/>
        <w:rPr>
          <w:rFonts w:ascii="Calibri" w:hAnsi="Calibri" w:cs="Calibri"/>
          <w:sz w:val="22"/>
          <w:szCs w:val="22"/>
        </w:rPr>
      </w:pPr>
      <w:r w:rsidRPr="0076405A">
        <w:rPr>
          <w:rFonts w:ascii="Calibri" w:hAnsi="Calibri" w:cs="Calibri"/>
          <w:sz w:val="22"/>
          <w:szCs w:val="22"/>
        </w:rPr>
        <w:t>The proposals involve the construction of a new flint</w:t>
      </w:r>
      <w:r w:rsidRPr="0076405A">
        <w:rPr>
          <w:rFonts w:ascii="Calibri" w:hAnsi="Calibri" w:cs="Calibri"/>
          <w:sz w:val="22"/>
          <w:szCs w:val="22"/>
        </w:rPr>
        <w:noBreakHyphen/>
        <w:t>clad seawall on the seaward side of a narrow strip of land currently forming part of the harbour edge, together with a timber flood gate and a reinforced coastal footpath located further seaward. The existing boundary wall adjoining the listed building would remain in place, and the works would not involve any physical alterations to the fabric, elevations or architectural features of Green Cottage.</w:t>
      </w:r>
    </w:p>
    <w:p w14:paraId="3D4BB7F0" w14:textId="793586D9" w:rsidR="001402A4" w:rsidRPr="001402A4" w:rsidRDefault="001402A4" w:rsidP="001402A4">
      <w:pPr>
        <w:jc w:val="both"/>
        <w:rPr>
          <w:rFonts w:ascii="Calibri" w:hAnsi="Calibri" w:cs="Calibri"/>
          <w:sz w:val="22"/>
          <w:szCs w:val="22"/>
        </w:rPr>
      </w:pPr>
      <w:r w:rsidRPr="001402A4">
        <w:rPr>
          <w:rFonts w:ascii="Calibri" w:hAnsi="Calibri" w:cs="Calibri"/>
          <w:sz w:val="22"/>
          <w:szCs w:val="22"/>
        </w:rPr>
        <w:t>At present, the strip of land between the existing boundary wall and the harbour edge contributes to the organic and informal character of this part of the waterfront. Although in the same ownership as Green Cottage, the space reads visually as part of the wider harbour landscape, with a soft and transitional character that blurs the distinction between private curtilage and public realm. This informality forms part of the setting in which the listed building is experienced, reinforcing its relationship with the harbour edge.</w:t>
      </w:r>
    </w:p>
    <w:p w14:paraId="1CDC5A1E" w14:textId="2323370D" w:rsidR="001402A4" w:rsidRPr="001402A4" w:rsidRDefault="001402A4" w:rsidP="001402A4">
      <w:pPr>
        <w:jc w:val="both"/>
        <w:rPr>
          <w:rFonts w:ascii="Calibri" w:hAnsi="Calibri" w:cs="Calibri"/>
          <w:sz w:val="22"/>
          <w:szCs w:val="22"/>
        </w:rPr>
      </w:pPr>
      <w:r w:rsidRPr="001402A4">
        <w:rPr>
          <w:rFonts w:ascii="Calibri" w:hAnsi="Calibri" w:cs="Calibri"/>
          <w:sz w:val="22"/>
          <w:szCs w:val="22"/>
        </w:rPr>
        <w:t>The construction of a new flint</w:t>
      </w:r>
      <w:r w:rsidRPr="001402A4">
        <w:rPr>
          <w:rFonts w:ascii="Calibri" w:hAnsi="Calibri" w:cs="Calibri"/>
          <w:sz w:val="22"/>
          <w:szCs w:val="22"/>
        </w:rPr>
        <w:noBreakHyphen/>
        <w:t xml:space="preserve">clad seawall to the seaward side of this land would result in the enclosure of this space into the private </w:t>
      </w:r>
      <w:r w:rsidR="00CC578C">
        <w:rPr>
          <w:rFonts w:ascii="Calibri" w:hAnsi="Calibri" w:cs="Calibri"/>
          <w:sz w:val="22"/>
          <w:szCs w:val="22"/>
        </w:rPr>
        <w:t>amenity space</w:t>
      </w:r>
      <w:r w:rsidRPr="001402A4">
        <w:rPr>
          <w:rFonts w:ascii="Calibri" w:hAnsi="Calibri" w:cs="Calibri"/>
          <w:sz w:val="22"/>
          <w:szCs w:val="22"/>
        </w:rPr>
        <w:t xml:space="preserve"> of Green Cottage. This would represent a change to the existing arrangement, with part of the currently open and organic harbour</w:t>
      </w:r>
      <w:r w:rsidRPr="001402A4">
        <w:rPr>
          <w:rFonts w:ascii="Calibri" w:hAnsi="Calibri" w:cs="Calibri"/>
          <w:sz w:val="22"/>
          <w:szCs w:val="22"/>
        </w:rPr>
        <w:noBreakHyphen/>
        <w:t>side foreground being visually absorbed into a more clearly defined domestic curtilage. As a result, the harbour edge in this location would read as more formalised and ordered, with a continuous boundary replacing the softer, more ambiguous edge that currently exists.</w:t>
      </w:r>
    </w:p>
    <w:p w14:paraId="4C79E1E7" w14:textId="45F382A1" w:rsidR="001402A4" w:rsidRPr="001402A4" w:rsidRDefault="001402A4" w:rsidP="001402A4">
      <w:pPr>
        <w:jc w:val="both"/>
        <w:rPr>
          <w:rFonts w:ascii="Calibri" w:hAnsi="Calibri" w:cs="Calibri"/>
          <w:sz w:val="22"/>
          <w:szCs w:val="22"/>
        </w:rPr>
      </w:pPr>
      <w:r w:rsidRPr="001402A4">
        <w:rPr>
          <w:rFonts w:ascii="Calibri" w:hAnsi="Calibri" w:cs="Calibri"/>
          <w:sz w:val="22"/>
          <w:szCs w:val="22"/>
        </w:rPr>
        <w:t xml:space="preserve">The new flint wall would step up in height adjacent to Green Cottage </w:t>
      </w:r>
      <w:proofErr w:type="gramStart"/>
      <w:r w:rsidRPr="001402A4">
        <w:rPr>
          <w:rFonts w:ascii="Calibri" w:hAnsi="Calibri" w:cs="Calibri"/>
          <w:sz w:val="22"/>
          <w:szCs w:val="22"/>
        </w:rPr>
        <w:t>in order to</w:t>
      </w:r>
      <w:proofErr w:type="gramEnd"/>
      <w:r w:rsidRPr="001402A4">
        <w:rPr>
          <w:rFonts w:ascii="Calibri" w:hAnsi="Calibri" w:cs="Calibri"/>
          <w:sz w:val="22"/>
          <w:szCs w:val="22"/>
        </w:rPr>
        <w:t xml:space="preserve"> provide the required level of flood protection. While this introduces a more prominent engineered feature along the harbour edge, the wall would remain visually subordinate to the main elevations and roofline of the listed building and would be clearly read as a </w:t>
      </w:r>
      <w:r w:rsidR="002D191B">
        <w:rPr>
          <w:rFonts w:ascii="Calibri" w:hAnsi="Calibri" w:cs="Calibri"/>
          <w:sz w:val="22"/>
          <w:szCs w:val="22"/>
        </w:rPr>
        <w:t xml:space="preserve">boundary </w:t>
      </w:r>
      <w:r w:rsidRPr="001402A4">
        <w:rPr>
          <w:rFonts w:ascii="Calibri" w:hAnsi="Calibri" w:cs="Calibri"/>
          <w:sz w:val="22"/>
          <w:szCs w:val="22"/>
        </w:rPr>
        <w:t xml:space="preserve">structure rather than an extension or alteration of the dwelling itself. The use of flint reflects </w:t>
      </w:r>
      <w:r w:rsidR="002D191B">
        <w:rPr>
          <w:rFonts w:ascii="Calibri" w:hAnsi="Calibri" w:cs="Calibri"/>
          <w:sz w:val="22"/>
          <w:szCs w:val="22"/>
        </w:rPr>
        <w:t xml:space="preserve">the existing, </w:t>
      </w:r>
      <w:r w:rsidRPr="001402A4">
        <w:rPr>
          <w:rFonts w:ascii="Calibri" w:hAnsi="Calibri" w:cs="Calibri"/>
          <w:sz w:val="22"/>
          <w:szCs w:val="22"/>
        </w:rPr>
        <w:t xml:space="preserve">traditional </w:t>
      </w:r>
      <w:r w:rsidR="002D191B">
        <w:rPr>
          <w:rFonts w:ascii="Calibri" w:hAnsi="Calibri" w:cs="Calibri"/>
          <w:sz w:val="22"/>
          <w:szCs w:val="22"/>
        </w:rPr>
        <w:t xml:space="preserve">palette of </w:t>
      </w:r>
      <w:r w:rsidRPr="001402A4">
        <w:rPr>
          <w:rFonts w:ascii="Calibri" w:hAnsi="Calibri" w:cs="Calibri"/>
          <w:sz w:val="22"/>
          <w:szCs w:val="22"/>
        </w:rPr>
        <w:t>materials and helps anchor the new wall</w:t>
      </w:r>
      <w:r w:rsidR="002D191B">
        <w:rPr>
          <w:rFonts w:ascii="Calibri" w:hAnsi="Calibri" w:cs="Calibri"/>
          <w:sz w:val="22"/>
          <w:szCs w:val="22"/>
        </w:rPr>
        <w:t>s</w:t>
      </w:r>
      <w:r w:rsidRPr="001402A4">
        <w:rPr>
          <w:rFonts w:ascii="Calibri" w:hAnsi="Calibri" w:cs="Calibri"/>
          <w:sz w:val="22"/>
          <w:szCs w:val="22"/>
        </w:rPr>
        <w:t xml:space="preserve"> within the local vernacular.</w:t>
      </w:r>
    </w:p>
    <w:p w14:paraId="7ADC2CD0" w14:textId="77777777" w:rsidR="001402A4" w:rsidRPr="001402A4" w:rsidRDefault="001402A4" w:rsidP="001402A4">
      <w:pPr>
        <w:jc w:val="both"/>
        <w:rPr>
          <w:rFonts w:ascii="Calibri" w:hAnsi="Calibri" w:cs="Calibri"/>
          <w:sz w:val="22"/>
          <w:szCs w:val="22"/>
        </w:rPr>
      </w:pPr>
      <w:r w:rsidRPr="001402A4">
        <w:rPr>
          <w:rFonts w:ascii="Calibri" w:hAnsi="Calibri" w:cs="Calibri"/>
          <w:sz w:val="22"/>
          <w:szCs w:val="22"/>
        </w:rPr>
        <w:lastRenderedPageBreak/>
        <w:t>The relocation of the public footpath to a position seaward of the new wall, together with the associated railings, would further increase the separation between the listed building and public movement, reducing activity immediately adjacent to the building’s frontage and reinforcing its domestic character.</w:t>
      </w:r>
    </w:p>
    <w:p w14:paraId="5B38ED35" w14:textId="7898CABE" w:rsidR="00943648" w:rsidRPr="002D191B" w:rsidRDefault="001402A4" w:rsidP="00F53E75">
      <w:pPr>
        <w:jc w:val="both"/>
        <w:rPr>
          <w:rFonts w:ascii="Calibri" w:hAnsi="Calibri" w:cs="Calibri"/>
          <w:sz w:val="22"/>
          <w:szCs w:val="22"/>
        </w:rPr>
      </w:pPr>
      <w:r w:rsidRPr="001402A4">
        <w:rPr>
          <w:rFonts w:ascii="Calibri" w:hAnsi="Calibri" w:cs="Calibri"/>
          <w:sz w:val="22"/>
          <w:szCs w:val="22"/>
        </w:rPr>
        <w:t>While the proposals would therefore alter the character of the immediate harbour</w:t>
      </w:r>
      <w:r w:rsidRPr="001402A4">
        <w:rPr>
          <w:rFonts w:ascii="Calibri" w:hAnsi="Calibri" w:cs="Calibri"/>
          <w:sz w:val="22"/>
          <w:szCs w:val="22"/>
        </w:rPr>
        <w:noBreakHyphen/>
        <w:t>side curtilage, particularly through the loss of a small area of organic and visually open harbour</w:t>
      </w:r>
      <w:r w:rsidRPr="001402A4">
        <w:rPr>
          <w:rFonts w:ascii="Calibri" w:hAnsi="Calibri" w:cs="Calibri"/>
          <w:sz w:val="22"/>
          <w:szCs w:val="22"/>
        </w:rPr>
        <w:noBreakHyphen/>
        <w:t>edge land, they would not diminish the architectural interest of Green Cottage, obscure its elevations, or undermine its legibility as a</w:t>
      </w:r>
      <w:r w:rsidR="002D191B">
        <w:rPr>
          <w:rFonts w:ascii="Calibri" w:hAnsi="Calibri" w:cs="Calibri"/>
          <w:sz w:val="22"/>
          <w:szCs w:val="22"/>
        </w:rPr>
        <w:t xml:space="preserve"> </w:t>
      </w:r>
      <w:r w:rsidRPr="001402A4">
        <w:rPr>
          <w:rFonts w:ascii="Calibri" w:hAnsi="Calibri" w:cs="Calibri"/>
          <w:sz w:val="22"/>
          <w:szCs w:val="22"/>
        </w:rPr>
        <w:t>historic</w:t>
      </w:r>
      <w:r w:rsidR="002D191B">
        <w:rPr>
          <w:rFonts w:ascii="Calibri" w:hAnsi="Calibri" w:cs="Calibri"/>
          <w:sz w:val="22"/>
          <w:szCs w:val="22"/>
        </w:rPr>
        <w:t>,</w:t>
      </w:r>
      <w:r w:rsidRPr="001402A4">
        <w:rPr>
          <w:rFonts w:ascii="Calibri" w:hAnsi="Calibri" w:cs="Calibri"/>
          <w:sz w:val="22"/>
          <w:szCs w:val="22"/>
        </w:rPr>
        <w:t xml:space="preserve"> coastal dwelling. The historic relationship between the listed building and the harbour would remain clearly appreciable, albeit expressed through a more formalised boundary condition.</w:t>
      </w:r>
    </w:p>
    <w:p w14:paraId="49601CE4" w14:textId="77777777" w:rsidR="00820548" w:rsidRPr="00820548" w:rsidRDefault="00820548" w:rsidP="00820548">
      <w:pPr>
        <w:jc w:val="both"/>
        <w:rPr>
          <w:rFonts w:ascii="Calibri" w:hAnsi="Calibri" w:cs="Calibri"/>
          <w:sz w:val="22"/>
          <w:szCs w:val="22"/>
          <w:u w:val="single"/>
        </w:rPr>
      </w:pPr>
      <w:r w:rsidRPr="00820548">
        <w:rPr>
          <w:rFonts w:ascii="Calibri" w:hAnsi="Calibri" w:cs="Calibri"/>
          <w:sz w:val="22"/>
          <w:szCs w:val="22"/>
          <w:u w:val="single"/>
        </w:rPr>
        <w:t>Level of Harm</w:t>
      </w:r>
    </w:p>
    <w:p w14:paraId="1E7B962B" w14:textId="3B10DFF2" w:rsidR="00F620D4" w:rsidRPr="00F620D4" w:rsidRDefault="00F620D4" w:rsidP="00F620D4">
      <w:pPr>
        <w:jc w:val="both"/>
        <w:rPr>
          <w:rFonts w:ascii="Calibri" w:hAnsi="Calibri" w:cs="Calibri"/>
          <w:color w:val="0B0C0C"/>
          <w:sz w:val="22"/>
          <w:szCs w:val="22"/>
          <w:shd w:val="clear" w:color="auto" w:fill="FFFFFF"/>
        </w:rPr>
      </w:pPr>
      <w:r w:rsidRPr="00F620D4">
        <w:rPr>
          <w:rFonts w:ascii="Calibri" w:hAnsi="Calibri" w:cs="Calibri"/>
          <w:color w:val="0B0C0C"/>
          <w:sz w:val="22"/>
          <w:szCs w:val="22"/>
          <w:shd w:val="clear" w:color="auto" w:fill="FFFFFF"/>
        </w:rPr>
        <w:t>The proposals are considered to result in a low level of less than substantial harm to the significance of Green Cottage.</w:t>
      </w:r>
    </w:p>
    <w:p w14:paraId="063CC126" w14:textId="317B9FE6" w:rsidR="00F620D4" w:rsidRPr="00F620D4" w:rsidRDefault="00F620D4" w:rsidP="00F620D4">
      <w:pPr>
        <w:jc w:val="both"/>
        <w:rPr>
          <w:rFonts w:ascii="Calibri" w:hAnsi="Calibri" w:cs="Calibri"/>
          <w:color w:val="0B0C0C"/>
          <w:sz w:val="22"/>
          <w:szCs w:val="22"/>
          <w:shd w:val="clear" w:color="auto" w:fill="FFFFFF"/>
        </w:rPr>
      </w:pPr>
      <w:r w:rsidRPr="00F620D4">
        <w:rPr>
          <w:rFonts w:ascii="Calibri" w:hAnsi="Calibri" w:cs="Calibri"/>
          <w:color w:val="0B0C0C"/>
          <w:sz w:val="22"/>
          <w:szCs w:val="22"/>
          <w:shd w:val="clear" w:color="auto" w:fill="FFFFFF"/>
        </w:rPr>
        <w:t>The harm identified does not arise from any physical intervention into the fabric, elevations or architectural features of the listed building, all of which would remain unchanged. Instead, it arises from a</w:t>
      </w:r>
      <w:r w:rsidR="00AD136A">
        <w:rPr>
          <w:rFonts w:ascii="Calibri" w:hAnsi="Calibri" w:cs="Calibri"/>
          <w:color w:val="0B0C0C"/>
          <w:sz w:val="22"/>
          <w:szCs w:val="22"/>
          <w:shd w:val="clear" w:color="auto" w:fill="FFFFFF"/>
        </w:rPr>
        <w:t>n</w:t>
      </w:r>
      <w:r w:rsidRPr="00F620D4">
        <w:rPr>
          <w:rFonts w:ascii="Calibri" w:hAnsi="Calibri" w:cs="Calibri"/>
          <w:color w:val="0B0C0C"/>
          <w:sz w:val="22"/>
          <w:szCs w:val="22"/>
          <w:shd w:val="clear" w:color="auto" w:fill="FFFFFF"/>
        </w:rPr>
        <w:t xml:space="preserve"> alteration to the character of the harbour</w:t>
      </w:r>
      <w:r w:rsidRPr="00F620D4">
        <w:rPr>
          <w:rFonts w:ascii="Calibri" w:hAnsi="Calibri" w:cs="Calibri"/>
          <w:color w:val="0B0C0C"/>
          <w:sz w:val="22"/>
          <w:szCs w:val="22"/>
          <w:shd w:val="clear" w:color="auto" w:fill="FFFFFF"/>
        </w:rPr>
        <w:noBreakHyphen/>
        <w:t>side curtilage, where a small area of land that currently contributes to the organic and informal nature of the harbour edge would be visually absorbed into the private garden of Green Cottage through the construction of a new flint</w:t>
      </w:r>
      <w:r w:rsidRPr="00F620D4">
        <w:rPr>
          <w:rFonts w:ascii="Calibri" w:hAnsi="Calibri" w:cs="Calibri"/>
          <w:color w:val="0B0C0C"/>
          <w:sz w:val="22"/>
          <w:szCs w:val="22"/>
          <w:shd w:val="clear" w:color="auto" w:fill="FFFFFF"/>
        </w:rPr>
        <w:noBreakHyphen/>
        <w:t>clad seawall to its seaward side.</w:t>
      </w:r>
    </w:p>
    <w:p w14:paraId="63CA73E4" w14:textId="65040AB9" w:rsidR="00F620D4" w:rsidRPr="00F620D4" w:rsidRDefault="00F620D4" w:rsidP="00F620D4">
      <w:pPr>
        <w:jc w:val="both"/>
        <w:rPr>
          <w:rFonts w:ascii="Calibri" w:hAnsi="Calibri" w:cs="Calibri"/>
          <w:color w:val="0B0C0C"/>
          <w:sz w:val="22"/>
          <w:szCs w:val="22"/>
          <w:shd w:val="clear" w:color="auto" w:fill="FFFFFF"/>
        </w:rPr>
      </w:pPr>
      <w:r w:rsidRPr="00F620D4">
        <w:rPr>
          <w:rFonts w:ascii="Calibri" w:hAnsi="Calibri" w:cs="Calibri"/>
          <w:color w:val="0B0C0C"/>
          <w:sz w:val="22"/>
          <w:szCs w:val="22"/>
          <w:shd w:val="clear" w:color="auto" w:fill="FFFFFF"/>
        </w:rPr>
        <w:t>The introduction of a more clearly defined and formalised boundary would replace the existing soft and visually open foreground with a continuous curtilage edge. This would alter the way this section of the harbour frontage is experienced, representing a modest loss of informality and organic character at a localised level.</w:t>
      </w:r>
    </w:p>
    <w:p w14:paraId="68CCEEA8" w14:textId="77777777" w:rsidR="00F620D4" w:rsidRPr="00F620D4" w:rsidRDefault="00F620D4" w:rsidP="00F620D4">
      <w:pPr>
        <w:jc w:val="both"/>
        <w:rPr>
          <w:rFonts w:ascii="Calibri" w:hAnsi="Calibri" w:cs="Calibri"/>
          <w:color w:val="0B0C0C"/>
          <w:sz w:val="22"/>
          <w:szCs w:val="22"/>
          <w:shd w:val="clear" w:color="auto" w:fill="FFFFFF"/>
        </w:rPr>
      </w:pPr>
      <w:r w:rsidRPr="00F620D4">
        <w:rPr>
          <w:rFonts w:ascii="Calibri" w:hAnsi="Calibri" w:cs="Calibri"/>
          <w:color w:val="0B0C0C"/>
          <w:sz w:val="22"/>
          <w:szCs w:val="22"/>
          <w:shd w:val="clear" w:color="auto" w:fill="FFFFFF"/>
        </w:rPr>
        <w:t>However, this impact is limited in extent and entirely indirect, affecting only the outward expression of the curtilage rather than the listed building itself. The proposed wall would remain visually subordinate to the listed building, reflect appropriate coastal materials, and would not obscure views of Green Cottage or undermine its architectural interest, legibility or appreciation as a historic coastal dwelling.</w:t>
      </w:r>
    </w:p>
    <w:p w14:paraId="18EC9467" w14:textId="411AF4AB" w:rsidR="00F620D4" w:rsidRPr="00F620D4" w:rsidRDefault="00F620D4" w:rsidP="00F620D4">
      <w:pPr>
        <w:jc w:val="both"/>
        <w:rPr>
          <w:rFonts w:ascii="Calibri" w:hAnsi="Calibri" w:cs="Calibri"/>
          <w:color w:val="0B0C0C"/>
          <w:sz w:val="22"/>
          <w:szCs w:val="22"/>
          <w:shd w:val="clear" w:color="auto" w:fill="FFFFFF"/>
        </w:rPr>
      </w:pPr>
      <w:r w:rsidRPr="00F620D4">
        <w:rPr>
          <w:rFonts w:ascii="Calibri" w:hAnsi="Calibri" w:cs="Calibri"/>
          <w:color w:val="0B0C0C"/>
          <w:sz w:val="22"/>
          <w:szCs w:val="22"/>
          <w:shd w:val="clear" w:color="auto" w:fill="FFFFFF"/>
        </w:rPr>
        <w:t>On this basis, while a small degree of change to the character of the immediate harbour</w:t>
      </w:r>
      <w:r w:rsidRPr="00F620D4">
        <w:rPr>
          <w:rFonts w:ascii="Calibri" w:hAnsi="Calibri" w:cs="Calibri"/>
          <w:color w:val="0B0C0C"/>
          <w:sz w:val="22"/>
          <w:szCs w:val="22"/>
          <w:shd w:val="clear" w:color="auto" w:fill="FFFFFF"/>
        </w:rPr>
        <w:noBreakHyphen/>
        <w:t>side setting would occur, the proposals would nonetheless preserve the special architectural and historic interest of Green Cottage, and the</w:t>
      </w:r>
      <w:r w:rsidR="00246D67">
        <w:rPr>
          <w:rFonts w:ascii="Calibri" w:hAnsi="Calibri" w:cs="Calibri"/>
          <w:color w:val="0B0C0C"/>
          <w:sz w:val="22"/>
          <w:szCs w:val="22"/>
          <w:shd w:val="clear" w:color="auto" w:fill="FFFFFF"/>
        </w:rPr>
        <w:t>refore, the</w:t>
      </w:r>
      <w:r w:rsidRPr="00F620D4">
        <w:rPr>
          <w:rFonts w:ascii="Calibri" w:hAnsi="Calibri" w:cs="Calibri"/>
          <w:color w:val="0B0C0C"/>
          <w:sz w:val="22"/>
          <w:szCs w:val="22"/>
          <w:shd w:val="clear" w:color="auto" w:fill="FFFFFF"/>
        </w:rPr>
        <w:t xml:space="preserve"> level of harm is assessed as being low and less than substantial.</w:t>
      </w:r>
    </w:p>
    <w:p w14:paraId="5B623B86" w14:textId="77017ED2" w:rsidR="00A52F89"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79DB3A58" w14:textId="6BB91420" w:rsidR="00C63A38" w:rsidRPr="00C63A38" w:rsidRDefault="00C63A38" w:rsidP="00C63A38">
      <w:pPr>
        <w:jc w:val="both"/>
        <w:rPr>
          <w:rFonts w:ascii="Calibri" w:hAnsi="Calibri" w:cs="Calibri"/>
          <w:color w:val="0B0C0C"/>
          <w:sz w:val="22"/>
          <w:szCs w:val="22"/>
          <w:shd w:val="clear" w:color="auto" w:fill="FFFFFF"/>
        </w:rPr>
      </w:pPr>
      <w:r w:rsidRPr="00C63A38">
        <w:rPr>
          <w:rFonts w:ascii="Calibri" w:hAnsi="Calibri" w:cs="Calibri"/>
          <w:color w:val="0B0C0C"/>
          <w:sz w:val="22"/>
          <w:szCs w:val="22"/>
          <w:shd w:val="clear" w:color="auto" w:fill="FFFFFF"/>
        </w:rPr>
        <w:t xml:space="preserve">In accordance with Section 16 of the Planning (Listed Buildings and Conservation Areas) Act 1990, special regard </w:t>
      </w:r>
      <w:r w:rsidR="006B4005">
        <w:rPr>
          <w:rFonts w:ascii="Calibri" w:hAnsi="Calibri" w:cs="Calibri"/>
          <w:color w:val="0B0C0C"/>
          <w:sz w:val="22"/>
          <w:szCs w:val="22"/>
          <w:shd w:val="clear" w:color="auto" w:fill="FFFFFF"/>
        </w:rPr>
        <w:t>must be</w:t>
      </w:r>
      <w:r w:rsidRPr="00C63A38">
        <w:rPr>
          <w:rFonts w:ascii="Calibri" w:hAnsi="Calibri" w:cs="Calibri"/>
          <w:color w:val="0B0C0C"/>
          <w:sz w:val="22"/>
          <w:szCs w:val="22"/>
          <w:shd w:val="clear" w:color="auto" w:fill="FFFFFF"/>
        </w:rPr>
        <w:t xml:space="preserve"> had to the desirability of preserving Green Cottage and the features of special architectural and historic interest it possesses.</w:t>
      </w:r>
    </w:p>
    <w:p w14:paraId="6A5A32BC" w14:textId="48FF62A9" w:rsidR="00C63A38" w:rsidRPr="00C63A38" w:rsidRDefault="00C63A38" w:rsidP="00C63A38">
      <w:pPr>
        <w:jc w:val="both"/>
        <w:rPr>
          <w:rFonts w:ascii="Calibri" w:hAnsi="Calibri" w:cs="Calibri"/>
          <w:color w:val="0B0C0C"/>
          <w:sz w:val="22"/>
          <w:szCs w:val="22"/>
          <w:shd w:val="clear" w:color="auto" w:fill="FFFFFF"/>
        </w:rPr>
      </w:pPr>
      <w:r w:rsidRPr="00C63A38">
        <w:rPr>
          <w:rFonts w:ascii="Calibri" w:hAnsi="Calibri" w:cs="Calibri"/>
          <w:color w:val="0B0C0C"/>
          <w:sz w:val="22"/>
          <w:szCs w:val="22"/>
          <w:shd w:val="clear" w:color="auto" w:fill="FFFFFF"/>
        </w:rPr>
        <w:t>The proposals would result in a low level of less than substantial harm, arising from the formalisation of the harbour</w:t>
      </w:r>
      <w:r w:rsidRPr="00C63A38">
        <w:rPr>
          <w:rFonts w:ascii="Calibri" w:hAnsi="Calibri" w:cs="Calibri"/>
          <w:color w:val="0B0C0C"/>
          <w:sz w:val="22"/>
          <w:szCs w:val="22"/>
          <w:shd w:val="clear" w:color="auto" w:fill="FFFFFF"/>
        </w:rPr>
        <w:noBreakHyphen/>
        <w:t>side curtilage through the construction of a new flint</w:t>
      </w:r>
      <w:r w:rsidRPr="00C63A38">
        <w:rPr>
          <w:rFonts w:ascii="Calibri" w:hAnsi="Calibri" w:cs="Calibri"/>
          <w:color w:val="0B0C0C"/>
          <w:sz w:val="22"/>
          <w:szCs w:val="22"/>
          <w:shd w:val="clear" w:color="auto" w:fill="FFFFFF"/>
        </w:rPr>
        <w:noBreakHyphen/>
        <w:t xml:space="preserve">clad seawall and the enclosure of a small area of land that currently contributes to the organic and informal character of the harbour </w:t>
      </w:r>
      <w:r w:rsidRPr="00C63A38">
        <w:rPr>
          <w:rFonts w:ascii="Calibri" w:hAnsi="Calibri" w:cs="Calibri"/>
          <w:color w:val="0B0C0C"/>
          <w:sz w:val="22"/>
          <w:szCs w:val="22"/>
          <w:shd w:val="clear" w:color="auto" w:fill="FFFFFF"/>
        </w:rPr>
        <w:lastRenderedPageBreak/>
        <w:t>edge. This harm is indirect in nature and does not arise from any physical intervention into the fabric of the listed building itself.</w:t>
      </w:r>
    </w:p>
    <w:p w14:paraId="21593E60" w14:textId="77777777" w:rsidR="00C63A38" w:rsidRPr="00C63A38" w:rsidRDefault="00C63A38" w:rsidP="00C63A38">
      <w:pPr>
        <w:jc w:val="both"/>
        <w:rPr>
          <w:rFonts w:ascii="Calibri" w:hAnsi="Calibri" w:cs="Calibri"/>
          <w:color w:val="0B0C0C"/>
          <w:sz w:val="22"/>
          <w:szCs w:val="22"/>
          <w:shd w:val="clear" w:color="auto" w:fill="FFFFFF"/>
        </w:rPr>
      </w:pPr>
      <w:r w:rsidRPr="00C63A38">
        <w:rPr>
          <w:rFonts w:ascii="Calibri" w:hAnsi="Calibri" w:cs="Calibri"/>
          <w:color w:val="0B0C0C"/>
          <w:sz w:val="22"/>
          <w:szCs w:val="22"/>
          <w:shd w:val="clear" w:color="auto" w:fill="FFFFFF"/>
        </w:rPr>
        <w:t>The proposed works would not obscure or detract from the architectural form, scale or legibility of Green Cottage, and the use of appropriate coastal materials would ensure that the new boundary structure remains visually subordinate to the listed building. The historic relationship between Green Cottage and the harbour would remain clearly appreciable, albeit expressed through a more clearly defined curtilage boundary.</w:t>
      </w:r>
    </w:p>
    <w:p w14:paraId="77BAA7D0" w14:textId="77777777" w:rsidR="00C63A38" w:rsidRDefault="00C63A38" w:rsidP="00C63A38">
      <w:pPr>
        <w:jc w:val="both"/>
        <w:rPr>
          <w:rFonts w:ascii="Calibri" w:hAnsi="Calibri" w:cs="Calibri"/>
          <w:color w:val="0B0C0C"/>
          <w:sz w:val="22"/>
          <w:szCs w:val="22"/>
          <w:shd w:val="clear" w:color="auto" w:fill="FFFFFF"/>
        </w:rPr>
      </w:pPr>
      <w:proofErr w:type="gramStart"/>
      <w:r w:rsidRPr="00C63A38">
        <w:rPr>
          <w:rFonts w:ascii="Calibri" w:hAnsi="Calibri" w:cs="Calibri"/>
          <w:color w:val="0B0C0C"/>
          <w:sz w:val="22"/>
          <w:szCs w:val="22"/>
          <w:shd w:val="clear" w:color="auto" w:fill="FFFFFF"/>
        </w:rPr>
        <w:t>Taking into account</w:t>
      </w:r>
      <w:proofErr w:type="gramEnd"/>
      <w:r w:rsidRPr="00C63A38">
        <w:rPr>
          <w:rFonts w:ascii="Calibri" w:hAnsi="Calibri" w:cs="Calibri"/>
          <w:color w:val="0B0C0C"/>
          <w:sz w:val="22"/>
          <w:szCs w:val="22"/>
          <w:shd w:val="clear" w:color="auto" w:fill="FFFFFF"/>
        </w:rPr>
        <w:t xml:space="preserve"> the limited and localised nature of the identified harm, it is concluded that the proposals would preserve the special architectural and historic interest of the listed building.</w:t>
      </w:r>
    </w:p>
    <w:p w14:paraId="70B3CFF6" w14:textId="77777777" w:rsidR="00102E96" w:rsidRPr="00102E96" w:rsidRDefault="00102E96" w:rsidP="00102E96">
      <w:pPr>
        <w:jc w:val="both"/>
        <w:rPr>
          <w:rFonts w:ascii="Calibri" w:hAnsi="Calibri" w:cs="Calibri"/>
          <w:color w:val="0B0C0C"/>
          <w:sz w:val="22"/>
          <w:szCs w:val="22"/>
          <w:shd w:val="clear" w:color="auto" w:fill="FFFFFF"/>
        </w:rPr>
      </w:pPr>
      <w:r w:rsidRPr="00102E96">
        <w:rPr>
          <w:rFonts w:ascii="Calibri" w:hAnsi="Calibri" w:cs="Calibri"/>
          <w:color w:val="0B0C0C"/>
          <w:sz w:val="22"/>
          <w:szCs w:val="22"/>
          <w:shd w:val="clear" w:color="auto" w:fill="FFFFFF"/>
        </w:rPr>
        <w:t>No Listed Building Consent conditions are required, as the proposals would preserve the listed building without the need for additional heritage controls.</w:t>
      </w:r>
    </w:p>
    <w:p w14:paraId="78BDEC9C" w14:textId="1924BE07" w:rsidR="002A4F7A" w:rsidRDefault="00442B62" w:rsidP="00B12D34">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OBJECTION  </w:t>
      </w:r>
    </w:p>
    <w:p w14:paraId="2440800F" w14:textId="4F99D858" w:rsidR="00D63642" w:rsidRPr="00FB6004" w:rsidRDefault="00D63642" w:rsidP="00FB6004">
      <w:pPr>
        <w:jc w:val="both"/>
        <w:rPr>
          <w:rFonts w:ascii="Calibri" w:hAnsi="Calibri" w:cs="Calibri"/>
          <w:color w:val="0B0C0C"/>
          <w:sz w:val="22"/>
          <w:szCs w:val="22"/>
          <w:shd w:val="clear" w:color="auto" w:fill="FFFFFF"/>
        </w:rPr>
      </w:pPr>
    </w:p>
    <w:sectPr w:rsidR="00D63642" w:rsidRPr="00FB6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5C78"/>
    <w:multiLevelType w:val="multilevel"/>
    <w:tmpl w:val="722EE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41EC0"/>
    <w:multiLevelType w:val="multilevel"/>
    <w:tmpl w:val="A4B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D02D06"/>
    <w:multiLevelType w:val="hybridMultilevel"/>
    <w:tmpl w:val="B644EDCE"/>
    <w:lvl w:ilvl="0" w:tplc="7C0430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CDB2174"/>
    <w:multiLevelType w:val="hybridMultilevel"/>
    <w:tmpl w:val="69AEB6E4"/>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D813E5"/>
    <w:multiLevelType w:val="hybridMultilevel"/>
    <w:tmpl w:val="C9EE3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012D44"/>
    <w:multiLevelType w:val="hybridMultilevel"/>
    <w:tmpl w:val="EB12B45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7B77BD"/>
    <w:multiLevelType w:val="hybridMultilevel"/>
    <w:tmpl w:val="52A26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283390"/>
    <w:multiLevelType w:val="hybridMultilevel"/>
    <w:tmpl w:val="06262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514BC4"/>
    <w:multiLevelType w:val="multilevel"/>
    <w:tmpl w:val="E2F2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811E3D"/>
    <w:multiLevelType w:val="multilevel"/>
    <w:tmpl w:val="A100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7B2A48"/>
    <w:multiLevelType w:val="hybridMultilevel"/>
    <w:tmpl w:val="6AEC4A10"/>
    <w:lvl w:ilvl="0" w:tplc="5A92F5D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A39CD"/>
    <w:multiLevelType w:val="multilevel"/>
    <w:tmpl w:val="529E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B5576D"/>
    <w:multiLevelType w:val="multilevel"/>
    <w:tmpl w:val="68FE7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923702">
    <w:abstractNumId w:val="14"/>
  </w:num>
  <w:num w:numId="2" w16cid:durableId="751972753">
    <w:abstractNumId w:val="28"/>
  </w:num>
  <w:num w:numId="3" w16cid:durableId="1809206664">
    <w:abstractNumId w:val="17"/>
  </w:num>
  <w:num w:numId="4" w16cid:durableId="2032418738">
    <w:abstractNumId w:val="23"/>
  </w:num>
  <w:num w:numId="5" w16cid:durableId="887572044">
    <w:abstractNumId w:val="10"/>
  </w:num>
  <w:num w:numId="6" w16cid:durableId="315845238">
    <w:abstractNumId w:val="21"/>
  </w:num>
  <w:num w:numId="7" w16cid:durableId="159973812">
    <w:abstractNumId w:val="3"/>
  </w:num>
  <w:num w:numId="8" w16cid:durableId="1633057636">
    <w:abstractNumId w:val="1"/>
  </w:num>
  <w:num w:numId="9" w16cid:durableId="999768810">
    <w:abstractNumId w:val="27"/>
  </w:num>
  <w:num w:numId="10" w16cid:durableId="979652522">
    <w:abstractNumId w:val="26"/>
  </w:num>
  <w:num w:numId="11" w16cid:durableId="1415201962">
    <w:abstractNumId w:val="9"/>
  </w:num>
  <w:num w:numId="12" w16cid:durableId="2146316439">
    <w:abstractNumId w:val="0"/>
  </w:num>
  <w:num w:numId="13" w16cid:durableId="1963880985">
    <w:abstractNumId w:val="2"/>
  </w:num>
  <w:num w:numId="14" w16cid:durableId="31345016">
    <w:abstractNumId w:val="24"/>
  </w:num>
  <w:num w:numId="15" w16cid:durableId="1813019218">
    <w:abstractNumId w:val="13"/>
  </w:num>
  <w:num w:numId="16" w16cid:durableId="1040472172">
    <w:abstractNumId w:val="19"/>
  </w:num>
  <w:num w:numId="17" w16cid:durableId="857744031">
    <w:abstractNumId w:val="6"/>
  </w:num>
  <w:num w:numId="18" w16cid:durableId="1339457360">
    <w:abstractNumId w:val="18"/>
  </w:num>
  <w:num w:numId="19" w16cid:durableId="1545485268">
    <w:abstractNumId w:val="16"/>
  </w:num>
  <w:num w:numId="20" w16cid:durableId="1944650987">
    <w:abstractNumId w:val="22"/>
  </w:num>
  <w:num w:numId="21" w16cid:durableId="983582430">
    <w:abstractNumId w:val="25"/>
  </w:num>
  <w:num w:numId="22" w16cid:durableId="421024731">
    <w:abstractNumId w:val="8"/>
  </w:num>
  <w:num w:numId="23" w16cid:durableId="1104378450">
    <w:abstractNumId w:val="29"/>
  </w:num>
  <w:num w:numId="24" w16cid:durableId="153843061">
    <w:abstractNumId w:val="5"/>
  </w:num>
  <w:num w:numId="25" w16cid:durableId="1148672827">
    <w:abstractNumId w:val="4"/>
  </w:num>
  <w:num w:numId="26" w16cid:durableId="1926305654">
    <w:abstractNumId w:val="31"/>
  </w:num>
  <w:num w:numId="27" w16cid:durableId="1765033022">
    <w:abstractNumId w:val="30"/>
  </w:num>
  <w:num w:numId="28" w16cid:durableId="1201169578">
    <w:abstractNumId w:val="15"/>
  </w:num>
  <w:num w:numId="29" w16cid:durableId="1934582967">
    <w:abstractNumId w:val="20"/>
  </w:num>
  <w:num w:numId="30" w16cid:durableId="633408310">
    <w:abstractNumId w:val="7"/>
  </w:num>
  <w:num w:numId="31" w16cid:durableId="1267420588">
    <w:abstractNumId w:val="12"/>
  </w:num>
  <w:num w:numId="32" w16cid:durableId="609894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2484B"/>
    <w:rsid w:val="00027E98"/>
    <w:rsid w:val="00032BAD"/>
    <w:rsid w:val="00036618"/>
    <w:rsid w:val="000378D9"/>
    <w:rsid w:val="00046B51"/>
    <w:rsid w:val="000A3ED3"/>
    <w:rsid w:val="000B007A"/>
    <w:rsid w:val="000B17A7"/>
    <w:rsid w:val="000B3B84"/>
    <w:rsid w:val="000C66F8"/>
    <w:rsid w:val="000C6896"/>
    <w:rsid w:val="000D1230"/>
    <w:rsid w:val="000D281E"/>
    <w:rsid w:val="00102E96"/>
    <w:rsid w:val="001047B6"/>
    <w:rsid w:val="0012767B"/>
    <w:rsid w:val="00136C77"/>
    <w:rsid w:val="001402A4"/>
    <w:rsid w:val="0014625B"/>
    <w:rsid w:val="00150E26"/>
    <w:rsid w:val="00170E0A"/>
    <w:rsid w:val="00177BEF"/>
    <w:rsid w:val="00181232"/>
    <w:rsid w:val="00192FE9"/>
    <w:rsid w:val="00195710"/>
    <w:rsid w:val="00195D83"/>
    <w:rsid w:val="001B4EEA"/>
    <w:rsid w:val="001B6820"/>
    <w:rsid w:val="001C33BE"/>
    <w:rsid w:val="001E19CA"/>
    <w:rsid w:val="001F565A"/>
    <w:rsid w:val="00205253"/>
    <w:rsid w:val="00214695"/>
    <w:rsid w:val="0021656A"/>
    <w:rsid w:val="00244033"/>
    <w:rsid w:val="00246D67"/>
    <w:rsid w:val="0025513C"/>
    <w:rsid w:val="0026557C"/>
    <w:rsid w:val="002667E9"/>
    <w:rsid w:val="0027172E"/>
    <w:rsid w:val="002727E7"/>
    <w:rsid w:val="0027742A"/>
    <w:rsid w:val="00281A0E"/>
    <w:rsid w:val="00291625"/>
    <w:rsid w:val="00291CE4"/>
    <w:rsid w:val="002A25D7"/>
    <w:rsid w:val="002A4F7A"/>
    <w:rsid w:val="002A749C"/>
    <w:rsid w:val="002B6232"/>
    <w:rsid w:val="002C36C1"/>
    <w:rsid w:val="002D191B"/>
    <w:rsid w:val="002D2C5D"/>
    <w:rsid w:val="002D5C91"/>
    <w:rsid w:val="002D7F26"/>
    <w:rsid w:val="002E5E23"/>
    <w:rsid w:val="002F6E50"/>
    <w:rsid w:val="00301BA2"/>
    <w:rsid w:val="00317A8F"/>
    <w:rsid w:val="0033167B"/>
    <w:rsid w:val="0034327E"/>
    <w:rsid w:val="00343DA8"/>
    <w:rsid w:val="00352AA3"/>
    <w:rsid w:val="003B0DBF"/>
    <w:rsid w:val="003B4A51"/>
    <w:rsid w:val="003B5FF7"/>
    <w:rsid w:val="003E548E"/>
    <w:rsid w:val="003F58EF"/>
    <w:rsid w:val="00402EEE"/>
    <w:rsid w:val="004276D2"/>
    <w:rsid w:val="00434709"/>
    <w:rsid w:val="00436BBE"/>
    <w:rsid w:val="0043716D"/>
    <w:rsid w:val="004377FB"/>
    <w:rsid w:val="00442B62"/>
    <w:rsid w:val="004458F7"/>
    <w:rsid w:val="00463DFD"/>
    <w:rsid w:val="00471B1B"/>
    <w:rsid w:val="00474EE8"/>
    <w:rsid w:val="004805A8"/>
    <w:rsid w:val="00493D1E"/>
    <w:rsid w:val="004C6E91"/>
    <w:rsid w:val="004E41DC"/>
    <w:rsid w:val="004F61DA"/>
    <w:rsid w:val="00504F94"/>
    <w:rsid w:val="00520C37"/>
    <w:rsid w:val="005225AA"/>
    <w:rsid w:val="0053182E"/>
    <w:rsid w:val="00535273"/>
    <w:rsid w:val="00547E0D"/>
    <w:rsid w:val="0057433B"/>
    <w:rsid w:val="00580A86"/>
    <w:rsid w:val="00586210"/>
    <w:rsid w:val="0059063F"/>
    <w:rsid w:val="005A0CAD"/>
    <w:rsid w:val="005A1B31"/>
    <w:rsid w:val="005A2565"/>
    <w:rsid w:val="005E3299"/>
    <w:rsid w:val="005E418C"/>
    <w:rsid w:val="005E41E7"/>
    <w:rsid w:val="005F2B0A"/>
    <w:rsid w:val="00600B95"/>
    <w:rsid w:val="00616599"/>
    <w:rsid w:val="006218FC"/>
    <w:rsid w:val="00621CC0"/>
    <w:rsid w:val="0062215A"/>
    <w:rsid w:val="00634D74"/>
    <w:rsid w:val="0064516A"/>
    <w:rsid w:val="0064685F"/>
    <w:rsid w:val="00646E3F"/>
    <w:rsid w:val="00651BEE"/>
    <w:rsid w:val="00655A28"/>
    <w:rsid w:val="00656FCE"/>
    <w:rsid w:val="00666AD4"/>
    <w:rsid w:val="00672348"/>
    <w:rsid w:val="00675137"/>
    <w:rsid w:val="006B4005"/>
    <w:rsid w:val="006B6704"/>
    <w:rsid w:val="006C65CA"/>
    <w:rsid w:val="006D32BA"/>
    <w:rsid w:val="006E213E"/>
    <w:rsid w:val="006E224F"/>
    <w:rsid w:val="006F1D88"/>
    <w:rsid w:val="0070307C"/>
    <w:rsid w:val="00751307"/>
    <w:rsid w:val="007639A2"/>
    <w:rsid w:val="0076405A"/>
    <w:rsid w:val="00767F0F"/>
    <w:rsid w:val="00767FF8"/>
    <w:rsid w:val="00770D5E"/>
    <w:rsid w:val="0079536D"/>
    <w:rsid w:val="007B7617"/>
    <w:rsid w:val="007C6765"/>
    <w:rsid w:val="007D3C82"/>
    <w:rsid w:val="007D43AC"/>
    <w:rsid w:val="007E69AA"/>
    <w:rsid w:val="007F3519"/>
    <w:rsid w:val="007F715B"/>
    <w:rsid w:val="00820548"/>
    <w:rsid w:val="00822153"/>
    <w:rsid w:val="0083220D"/>
    <w:rsid w:val="00836EE7"/>
    <w:rsid w:val="00851CBE"/>
    <w:rsid w:val="0088471E"/>
    <w:rsid w:val="008A4829"/>
    <w:rsid w:val="008C7E14"/>
    <w:rsid w:val="008D755B"/>
    <w:rsid w:val="008D7E97"/>
    <w:rsid w:val="008F0842"/>
    <w:rsid w:val="009006FC"/>
    <w:rsid w:val="00902C3D"/>
    <w:rsid w:val="00904948"/>
    <w:rsid w:val="009070B4"/>
    <w:rsid w:val="00934BC3"/>
    <w:rsid w:val="00935F36"/>
    <w:rsid w:val="009369E8"/>
    <w:rsid w:val="00937EA4"/>
    <w:rsid w:val="009405B2"/>
    <w:rsid w:val="00943648"/>
    <w:rsid w:val="00970669"/>
    <w:rsid w:val="00976397"/>
    <w:rsid w:val="009769E7"/>
    <w:rsid w:val="00985F88"/>
    <w:rsid w:val="00987943"/>
    <w:rsid w:val="009A67B0"/>
    <w:rsid w:val="009A6F4C"/>
    <w:rsid w:val="009B1742"/>
    <w:rsid w:val="009B18A6"/>
    <w:rsid w:val="009B54B5"/>
    <w:rsid w:val="009B7378"/>
    <w:rsid w:val="009C0338"/>
    <w:rsid w:val="009C29ED"/>
    <w:rsid w:val="009D1590"/>
    <w:rsid w:val="009E765C"/>
    <w:rsid w:val="009F709F"/>
    <w:rsid w:val="009F78FC"/>
    <w:rsid w:val="00A04BBA"/>
    <w:rsid w:val="00A05251"/>
    <w:rsid w:val="00A065BB"/>
    <w:rsid w:val="00A1734B"/>
    <w:rsid w:val="00A2531E"/>
    <w:rsid w:val="00A30910"/>
    <w:rsid w:val="00A52F89"/>
    <w:rsid w:val="00A5331A"/>
    <w:rsid w:val="00A57F18"/>
    <w:rsid w:val="00A62287"/>
    <w:rsid w:val="00A642F1"/>
    <w:rsid w:val="00A75182"/>
    <w:rsid w:val="00A860E5"/>
    <w:rsid w:val="00A87F67"/>
    <w:rsid w:val="00A93B74"/>
    <w:rsid w:val="00AA002B"/>
    <w:rsid w:val="00AB1C83"/>
    <w:rsid w:val="00AC0C7B"/>
    <w:rsid w:val="00AC4564"/>
    <w:rsid w:val="00AD136A"/>
    <w:rsid w:val="00AE178E"/>
    <w:rsid w:val="00AE51BE"/>
    <w:rsid w:val="00B12D34"/>
    <w:rsid w:val="00B335BB"/>
    <w:rsid w:val="00B374C1"/>
    <w:rsid w:val="00B4729B"/>
    <w:rsid w:val="00B632A1"/>
    <w:rsid w:val="00B65468"/>
    <w:rsid w:val="00B71500"/>
    <w:rsid w:val="00B75136"/>
    <w:rsid w:val="00B769B2"/>
    <w:rsid w:val="00B94953"/>
    <w:rsid w:val="00BA04C6"/>
    <w:rsid w:val="00BA3480"/>
    <w:rsid w:val="00BA70ED"/>
    <w:rsid w:val="00BB4BB5"/>
    <w:rsid w:val="00BC03D2"/>
    <w:rsid w:val="00BD4C0D"/>
    <w:rsid w:val="00C06684"/>
    <w:rsid w:val="00C07F8C"/>
    <w:rsid w:val="00C12ECA"/>
    <w:rsid w:val="00C136C4"/>
    <w:rsid w:val="00C149E6"/>
    <w:rsid w:val="00C17DB3"/>
    <w:rsid w:val="00C313F2"/>
    <w:rsid w:val="00C319BF"/>
    <w:rsid w:val="00C34A68"/>
    <w:rsid w:val="00C371B7"/>
    <w:rsid w:val="00C37ED6"/>
    <w:rsid w:val="00C608FA"/>
    <w:rsid w:val="00C63A38"/>
    <w:rsid w:val="00C727E9"/>
    <w:rsid w:val="00C7362F"/>
    <w:rsid w:val="00C91078"/>
    <w:rsid w:val="00CB0A4B"/>
    <w:rsid w:val="00CC4BEC"/>
    <w:rsid w:val="00CC578C"/>
    <w:rsid w:val="00CD18F5"/>
    <w:rsid w:val="00D035B0"/>
    <w:rsid w:val="00D132BD"/>
    <w:rsid w:val="00D24B73"/>
    <w:rsid w:val="00D376DF"/>
    <w:rsid w:val="00D627B4"/>
    <w:rsid w:val="00D63642"/>
    <w:rsid w:val="00D81BB5"/>
    <w:rsid w:val="00D902EB"/>
    <w:rsid w:val="00D90594"/>
    <w:rsid w:val="00DF2FB3"/>
    <w:rsid w:val="00DF4CDC"/>
    <w:rsid w:val="00DF7452"/>
    <w:rsid w:val="00E263F1"/>
    <w:rsid w:val="00E426F2"/>
    <w:rsid w:val="00E439DC"/>
    <w:rsid w:val="00E70E4F"/>
    <w:rsid w:val="00E72256"/>
    <w:rsid w:val="00E81C21"/>
    <w:rsid w:val="00E96105"/>
    <w:rsid w:val="00EA2D36"/>
    <w:rsid w:val="00EB1897"/>
    <w:rsid w:val="00EC6F0C"/>
    <w:rsid w:val="00ED26F2"/>
    <w:rsid w:val="00EE1032"/>
    <w:rsid w:val="00EE1E97"/>
    <w:rsid w:val="00EF2E0A"/>
    <w:rsid w:val="00F0018C"/>
    <w:rsid w:val="00F04345"/>
    <w:rsid w:val="00F076A6"/>
    <w:rsid w:val="00F10A38"/>
    <w:rsid w:val="00F154AE"/>
    <w:rsid w:val="00F161D7"/>
    <w:rsid w:val="00F24ED8"/>
    <w:rsid w:val="00F37DC6"/>
    <w:rsid w:val="00F507DF"/>
    <w:rsid w:val="00F53E75"/>
    <w:rsid w:val="00F61B97"/>
    <w:rsid w:val="00F620D4"/>
    <w:rsid w:val="00F73445"/>
    <w:rsid w:val="00F76CB2"/>
    <w:rsid w:val="00F86CF6"/>
    <w:rsid w:val="00F956D3"/>
    <w:rsid w:val="00FA0393"/>
    <w:rsid w:val="00FA12C0"/>
    <w:rsid w:val="00FA13E4"/>
    <w:rsid w:val="00FB6004"/>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2161</Words>
  <Characters>13016</Characters>
  <Application>Microsoft Office Word</Application>
  <DocSecurity>4</DocSecurity>
  <Lines>271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2026-05-11T19:32:00Z</dcterms:created>
  <dcterms:modified xsi:type="dcterms:W3CDTF">2026-05-11T19:32:00Z</dcterms:modified>
</cp:coreProperties>
</file>