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C71EB" w14:textId="73AFC59E" w:rsidR="00D376DF" w:rsidRPr="00493D1E" w:rsidRDefault="00D376DF" w:rsidP="00D376DF">
      <w:pPr>
        <w:jc w:val="center"/>
        <w:rPr>
          <w:rFonts w:ascii="Calibri" w:hAnsi="Calibri" w:cs="Calibri"/>
          <w:b/>
          <w:sz w:val="22"/>
          <w:szCs w:val="22"/>
        </w:rPr>
      </w:pPr>
      <w:r w:rsidRPr="00493D1E">
        <w:rPr>
          <w:rFonts w:ascii="Calibri" w:hAnsi="Calibri" w:cs="Calibri"/>
          <w:b/>
          <w:sz w:val="22"/>
          <w:szCs w:val="22"/>
        </w:rPr>
        <w:t xml:space="preserve">Havant Borough Council </w:t>
      </w:r>
    </w:p>
    <w:p w14:paraId="21857C14" w14:textId="393D4485" w:rsidR="00D376DF" w:rsidRPr="00493D1E" w:rsidRDefault="0027172E" w:rsidP="00D376DF">
      <w:pPr>
        <w:jc w:val="center"/>
        <w:rPr>
          <w:rFonts w:ascii="Calibri" w:hAnsi="Calibri" w:cs="Calibri"/>
          <w:b/>
          <w:sz w:val="22"/>
          <w:szCs w:val="22"/>
        </w:rPr>
      </w:pPr>
      <w:r w:rsidRPr="00493D1E">
        <w:rPr>
          <w:rFonts w:ascii="Calibri" w:hAnsi="Calibri" w:cs="Calibri"/>
          <w:b/>
          <w:noProof/>
          <w:sz w:val="22"/>
          <w:szCs w:val="22"/>
        </w:rPr>
        <mc:AlternateContent>
          <mc:Choice Requires="wps">
            <w:drawing>
              <wp:anchor distT="45720" distB="45720" distL="114300" distR="114300" simplePos="0" relativeHeight="251661312" behindDoc="0" locked="0" layoutInCell="1" allowOverlap="1" wp14:anchorId="6CBFD64C" wp14:editId="478CBEE2">
                <wp:simplePos x="0" y="0"/>
                <wp:positionH relativeFrom="column">
                  <wp:posOffset>19050</wp:posOffset>
                </wp:positionH>
                <wp:positionV relativeFrom="paragraph">
                  <wp:posOffset>405765</wp:posOffset>
                </wp:positionV>
                <wp:extent cx="5775960" cy="1990725"/>
                <wp:effectExtent l="0" t="0" r="1524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5960" cy="1990725"/>
                        </a:xfrm>
                        <a:prstGeom prst="rect">
                          <a:avLst/>
                        </a:prstGeom>
                        <a:solidFill>
                          <a:schemeClr val="accent1">
                            <a:lumMod val="20000"/>
                            <a:lumOff val="80000"/>
                          </a:schemeClr>
                        </a:solidFill>
                        <a:ln w="9525">
                          <a:solidFill>
                            <a:srgbClr val="000000"/>
                          </a:solidFill>
                          <a:miter lim="800000"/>
                          <a:headEnd/>
                          <a:tailEnd/>
                        </a:ln>
                      </wps:spPr>
                      <wps:txbx>
                        <w:txbxContent>
                          <w:p w14:paraId="7546DDFA" w14:textId="69E11B1E"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Date – </w:t>
                            </w:r>
                            <w:r w:rsidR="000378D9">
                              <w:rPr>
                                <w:rFonts w:ascii="Calibri" w:hAnsi="Calibri" w:cs="Calibri"/>
                                <w:b/>
                                <w:sz w:val="22"/>
                                <w:szCs w:val="22"/>
                              </w:rPr>
                              <w:t>27/4/2026</w:t>
                            </w:r>
                          </w:p>
                          <w:p w14:paraId="3ABEBC21" w14:textId="77777777"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Officer – Rachael McMurray, Principal Heritage Officer </w:t>
                            </w:r>
                          </w:p>
                          <w:p w14:paraId="4243FEA7" w14:textId="45EE61E2"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Application – APP/2</w:t>
                            </w:r>
                            <w:r w:rsidR="009D1590">
                              <w:rPr>
                                <w:rFonts w:ascii="Calibri" w:hAnsi="Calibri" w:cs="Calibri"/>
                                <w:b/>
                                <w:sz w:val="22"/>
                                <w:szCs w:val="22"/>
                              </w:rPr>
                              <w:t>5/</w:t>
                            </w:r>
                            <w:r w:rsidR="00767F0F">
                              <w:rPr>
                                <w:rFonts w:ascii="Calibri" w:hAnsi="Calibri" w:cs="Calibri"/>
                                <w:b/>
                                <w:sz w:val="22"/>
                                <w:szCs w:val="22"/>
                              </w:rPr>
                              <w:t>00</w:t>
                            </w:r>
                            <w:r w:rsidR="00934BC3">
                              <w:rPr>
                                <w:rFonts w:ascii="Calibri" w:hAnsi="Calibri" w:cs="Calibri"/>
                                <w:b/>
                                <w:sz w:val="22"/>
                                <w:szCs w:val="22"/>
                              </w:rPr>
                              <w:t>17</w:t>
                            </w:r>
                            <w:r w:rsidR="0053182E">
                              <w:rPr>
                                <w:rFonts w:ascii="Calibri" w:hAnsi="Calibri" w:cs="Calibri"/>
                                <w:b/>
                                <w:sz w:val="22"/>
                                <w:szCs w:val="22"/>
                              </w:rPr>
                              <w:t>9</w:t>
                            </w:r>
                          </w:p>
                          <w:p w14:paraId="458D1D24" w14:textId="7BAE125E" w:rsidR="002A25D7" w:rsidRDefault="002A25D7" w:rsidP="002A25D7">
                            <w:pPr>
                              <w:jc w:val="both"/>
                              <w:rPr>
                                <w:rFonts w:ascii="Calibri" w:hAnsi="Calibri" w:cs="Calibri"/>
                                <w:b/>
                                <w:sz w:val="22"/>
                                <w:szCs w:val="22"/>
                              </w:rPr>
                            </w:pPr>
                            <w:r w:rsidRPr="00493D1E">
                              <w:rPr>
                                <w:rFonts w:ascii="Calibri" w:hAnsi="Calibri" w:cs="Calibri"/>
                                <w:b/>
                                <w:sz w:val="22"/>
                                <w:szCs w:val="22"/>
                              </w:rPr>
                              <w:t>Site Address –</w:t>
                            </w:r>
                            <w:r w:rsidR="00DF7452">
                              <w:rPr>
                                <w:rFonts w:ascii="Calibri" w:hAnsi="Calibri" w:cs="Calibri"/>
                                <w:b/>
                                <w:sz w:val="22"/>
                                <w:szCs w:val="22"/>
                              </w:rPr>
                              <w:t xml:space="preserve"> </w:t>
                            </w:r>
                            <w:r w:rsidR="0053182E">
                              <w:rPr>
                                <w:rFonts w:ascii="Calibri" w:hAnsi="Calibri" w:cs="Calibri"/>
                                <w:b/>
                                <w:sz w:val="22"/>
                                <w:szCs w:val="22"/>
                              </w:rPr>
                              <w:t xml:space="preserve">16,17 and 18 Langstone High Street, Havant </w:t>
                            </w:r>
                          </w:p>
                          <w:p w14:paraId="122D52D5" w14:textId="526B56F6" w:rsidR="00181232" w:rsidRPr="004377FB" w:rsidRDefault="00970669" w:rsidP="00181232">
                            <w:pPr>
                              <w:pStyle w:val="Normal0"/>
                              <w:rPr>
                                <w:rFonts w:ascii="Calibri" w:hAnsi="Calibri" w:cs="Calibri"/>
                                <w:b/>
                                <w:sz w:val="22"/>
                                <w:szCs w:val="22"/>
                              </w:rPr>
                            </w:pPr>
                            <w:r w:rsidRPr="004377FB">
                              <w:rPr>
                                <w:rFonts w:ascii="Calibri" w:hAnsi="Calibri" w:cs="Calibri"/>
                                <w:b/>
                                <w:sz w:val="22"/>
                                <w:szCs w:val="22"/>
                              </w:rPr>
                              <w:t>Proposal</w:t>
                            </w:r>
                            <w:r w:rsidR="00032BAD" w:rsidRPr="004377FB">
                              <w:rPr>
                                <w:rFonts w:ascii="Calibri" w:hAnsi="Calibri" w:cs="Calibri"/>
                                <w:b/>
                                <w:sz w:val="22"/>
                                <w:szCs w:val="22"/>
                              </w:rPr>
                              <w:t xml:space="preserve">: </w:t>
                            </w:r>
                          </w:p>
                          <w:p w14:paraId="30CE3EED" w14:textId="7B8CF1B2" w:rsidR="0027172E" w:rsidRDefault="0027172E" w:rsidP="0027172E">
                            <w:pPr>
                              <w:pStyle w:val="Normal0"/>
                              <w:rPr>
                                <w:rFonts w:ascii="Calibri" w:hAnsi="Calibri" w:cs="Calibri"/>
                                <w:b/>
                                <w:sz w:val="22"/>
                                <w:szCs w:val="22"/>
                              </w:rPr>
                            </w:pPr>
                          </w:p>
                          <w:p w14:paraId="2E571721" w14:textId="77777777" w:rsidR="0053182E" w:rsidRPr="0053182E" w:rsidRDefault="0053182E" w:rsidP="0053182E">
                            <w:pPr>
                              <w:pStyle w:val="Normal0"/>
                              <w:rPr>
                                <w:rFonts w:ascii="Calibri" w:hAnsi="Calibri" w:cs="Calibri"/>
                                <w:b/>
                                <w:sz w:val="22"/>
                                <w:szCs w:val="22"/>
                              </w:rPr>
                            </w:pPr>
                            <w:r w:rsidRPr="0053182E">
                              <w:rPr>
                                <w:rFonts w:ascii="Calibri" w:hAnsi="Calibri" w:cs="Calibri"/>
                                <w:b/>
                                <w:sz w:val="22"/>
                                <w:szCs w:val="22"/>
                              </w:rPr>
                              <w:t>Listed Building Consent for works to 16, 17 &amp; 18 The High Street to include reinforced footpath seaward and new stone-clad seawall with flood glass barrier above.</w:t>
                            </w:r>
                          </w:p>
                          <w:p w14:paraId="3EA736E9" w14:textId="49C58011" w:rsidR="00934BC3" w:rsidRPr="00934BC3" w:rsidRDefault="00934BC3" w:rsidP="00934BC3">
                            <w:pPr>
                              <w:pStyle w:val="Normal0"/>
                              <w:rPr>
                                <w:rFonts w:ascii="Calibri" w:hAnsi="Calibri" w:cs="Calibri"/>
                                <w:b/>
                                <w:sz w:val="22"/>
                                <w:szCs w:val="22"/>
                              </w:rPr>
                            </w:pPr>
                          </w:p>
                          <w:p w14:paraId="3473FDBA" w14:textId="2FF25200" w:rsidR="00C34A68" w:rsidRPr="00C34A68" w:rsidRDefault="00C34A68" w:rsidP="00C34A68">
                            <w:pPr>
                              <w:pStyle w:val="Normal0"/>
                              <w:rPr>
                                <w:rFonts w:ascii="Calibri" w:hAnsi="Calibri" w:cs="Calibri"/>
                                <w:b/>
                                <w:sz w:val="22"/>
                                <w:szCs w:val="22"/>
                              </w:rPr>
                            </w:pPr>
                          </w:p>
                          <w:p w14:paraId="28D5E4F3" w14:textId="3FBABDB0" w:rsidR="000D281E" w:rsidRPr="000D281E" w:rsidRDefault="000D281E" w:rsidP="000D281E">
                            <w:pPr>
                              <w:pStyle w:val="Normal0"/>
                              <w:rPr>
                                <w:rFonts w:ascii="Calibri" w:hAnsi="Calibri" w:cs="Calibri"/>
                                <w:b/>
                                <w:sz w:val="22"/>
                                <w:szCs w:val="22"/>
                              </w:rPr>
                            </w:pPr>
                          </w:p>
                          <w:p w14:paraId="2D2B76F5" w14:textId="0EC5A034" w:rsidR="000C6896" w:rsidRPr="000C6896" w:rsidRDefault="000C6896" w:rsidP="000C6896">
                            <w:pPr>
                              <w:pStyle w:val="Normal0"/>
                              <w:rPr>
                                <w:rFonts w:ascii="Calibri" w:hAnsi="Calibri" w:cs="Calibri"/>
                                <w:b/>
                                <w:sz w:val="22"/>
                                <w:szCs w:val="22"/>
                              </w:rPr>
                            </w:pPr>
                          </w:p>
                          <w:p w14:paraId="3857469C" w14:textId="77777777" w:rsidR="000C6896" w:rsidRPr="0027172E" w:rsidRDefault="000C6896" w:rsidP="0027172E">
                            <w:pPr>
                              <w:pStyle w:val="Normal0"/>
                              <w:rPr>
                                <w:rFonts w:ascii="Calibri" w:hAnsi="Calibri" w:cs="Calibri"/>
                                <w:b/>
                                <w:sz w:val="22"/>
                                <w:szCs w:val="22"/>
                              </w:rPr>
                            </w:pPr>
                          </w:p>
                          <w:p w14:paraId="293CC352" w14:textId="2C17538F" w:rsidR="001B4EEA" w:rsidRPr="001B4EEA" w:rsidRDefault="001B4EEA" w:rsidP="001B4EEA">
                            <w:pPr>
                              <w:pStyle w:val="Normal0"/>
                              <w:rPr>
                                <w:rFonts w:ascii="Calibri" w:hAnsi="Calibri" w:cs="Calibri"/>
                                <w:b/>
                                <w:sz w:val="22"/>
                                <w:szCs w:val="22"/>
                              </w:rPr>
                            </w:pPr>
                          </w:p>
                          <w:p w14:paraId="59A277A2" w14:textId="52DAC915" w:rsidR="00767F0F" w:rsidRPr="00767F0F" w:rsidRDefault="00767F0F" w:rsidP="00767F0F">
                            <w:pPr>
                              <w:pStyle w:val="Normal0"/>
                              <w:rPr>
                                <w:rFonts w:ascii="Calibri" w:hAnsi="Calibri" w:cs="Calibri"/>
                                <w:b/>
                                <w:sz w:val="22"/>
                                <w:szCs w:val="22"/>
                              </w:rPr>
                            </w:pPr>
                          </w:p>
                          <w:p w14:paraId="4DAB7F95" w14:textId="77777777" w:rsidR="00032BAD" w:rsidRDefault="00032BAD" w:rsidP="00181232">
                            <w:pPr>
                              <w:pStyle w:val="Normal0"/>
                              <w:rPr>
                                <w:rFonts w:ascii="Calibri" w:hAnsi="Calibri" w:cs="Calibri"/>
                                <w:b/>
                                <w:sz w:val="22"/>
                                <w:szCs w:val="22"/>
                              </w:rPr>
                            </w:pPr>
                          </w:p>
                          <w:p w14:paraId="089E10F1" w14:textId="77777777" w:rsidR="00032BAD" w:rsidRDefault="00032BAD" w:rsidP="00181232">
                            <w:pPr>
                              <w:pStyle w:val="Normal0"/>
                              <w:rPr>
                                <w:rFonts w:ascii="Calibri" w:hAnsi="Calibri" w:cs="Calibri"/>
                                <w:b/>
                                <w:sz w:val="22"/>
                                <w:szCs w:val="22"/>
                              </w:rPr>
                            </w:pPr>
                          </w:p>
                          <w:p w14:paraId="225E0856" w14:textId="77777777" w:rsidR="00032BAD" w:rsidRDefault="00032BAD" w:rsidP="00181232">
                            <w:pPr>
                              <w:pStyle w:val="Normal0"/>
                              <w:rPr>
                                <w:rFonts w:ascii="Calibri" w:hAnsi="Calibri" w:cs="Calibri"/>
                                <w:b/>
                                <w:sz w:val="22"/>
                                <w:szCs w:val="22"/>
                              </w:rPr>
                            </w:pPr>
                          </w:p>
                          <w:p w14:paraId="21349658" w14:textId="77777777" w:rsidR="00032BAD" w:rsidRDefault="00032BAD" w:rsidP="00181232">
                            <w:pPr>
                              <w:pStyle w:val="Normal0"/>
                              <w:rPr>
                                <w:sz w:val="22"/>
                                <w:szCs w:val="22"/>
                              </w:rPr>
                            </w:pPr>
                          </w:p>
                          <w:p w14:paraId="53955D28" w14:textId="6FCF6E8C" w:rsidR="002727E7" w:rsidRPr="000B007A" w:rsidRDefault="002727E7" w:rsidP="00272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Cs/>
                                <w:kern w:val="0"/>
                                <w:sz w:val="22"/>
                                <w:szCs w:val="22"/>
                              </w:rPr>
                            </w:pPr>
                          </w:p>
                          <w:p w14:paraId="6C93293B" w14:textId="2423B53B" w:rsidR="009A6F4C" w:rsidRDefault="009A6F4C" w:rsidP="009A6F4C">
                            <w:pPr>
                              <w:pStyle w:val="Normal0"/>
                              <w:rPr>
                                <w:sz w:val="22"/>
                                <w:szCs w:val="22"/>
                              </w:rPr>
                            </w:pPr>
                          </w:p>
                          <w:p w14:paraId="64A1B298" w14:textId="77777777" w:rsidR="009A6F4C" w:rsidRDefault="009A6F4C" w:rsidP="009A6F4C">
                            <w:pPr>
                              <w:pStyle w:val="Normal0"/>
                              <w:rPr>
                                <w:sz w:val="22"/>
                                <w:szCs w:val="22"/>
                              </w:rPr>
                            </w:pPr>
                          </w:p>
                          <w:p w14:paraId="6137D28E" w14:textId="2A4D5C4B" w:rsidR="00970669" w:rsidRDefault="00970669" w:rsidP="00970669">
                            <w:pPr>
                              <w:pStyle w:val="Normal0"/>
                              <w:rPr>
                                <w:sz w:val="22"/>
                                <w:szCs w:val="22"/>
                              </w:rPr>
                            </w:pPr>
                          </w:p>
                          <w:p w14:paraId="2C094B08" w14:textId="359587E6" w:rsidR="00970669" w:rsidRPr="00493D1E" w:rsidRDefault="00970669" w:rsidP="002A25D7">
                            <w:pPr>
                              <w:jc w:val="both"/>
                              <w:rPr>
                                <w:rFonts w:ascii="Calibri" w:hAnsi="Calibri" w:cs="Calibri"/>
                                <w:b/>
                                <w:sz w:val="22"/>
                                <w:szCs w:val="22"/>
                              </w:rPr>
                            </w:pPr>
                          </w:p>
                          <w:p w14:paraId="4E87FFBD" w14:textId="6FE9BEBA" w:rsidR="00D376DF" w:rsidRDefault="00D376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BFD64C" id="_x0000_t202" coordsize="21600,21600" o:spt="202" path="m,l,21600r21600,l21600,xe">
                <v:stroke joinstyle="miter"/>
                <v:path gradientshapeok="t" o:connecttype="rect"/>
              </v:shapetype>
              <v:shape id="Text Box 2" o:spid="_x0000_s1026" type="#_x0000_t202" style="position:absolute;left:0;text-align:left;margin-left:1.5pt;margin-top:31.95pt;width:454.8pt;height:156.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" fillcolor="#c1e4f5 [660]">
                <v:textbox>
                  <w:txbxContent>
                    <w:p w14:paraId="7546DDFA" w14:textId="69E11B1E"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Date – </w:t>
                      </w:r>
                      <w:r w:rsidR="000378D9">
                        <w:rPr>
                          <w:rFonts w:ascii="Calibri" w:hAnsi="Calibri" w:cs="Calibri"/>
                          <w:b/>
                          <w:sz w:val="22"/>
                          <w:szCs w:val="22"/>
                        </w:rPr>
                        <w:t>27/4/2026</w:t>
                      </w:r>
                    </w:p>
                    <w:p w14:paraId="3ABEBC21" w14:textId="77777777"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Officer – Rachael McMurray, Principal Heritage Officer </w:t>
                      </w:r>
                    </w:p>
                    <w:p w14:paraId="4243FEA7" w14:textId="45EE61E2"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Application – APP/2</w:t>
                      </w:r>
                      <w:r w:rsidR="009D1590">
                        <w:rPr>
                          <w:rFonts w:ascii="Calibri" w:hAnsi="Calibri" w:cs="Calibri"/>
                          <w:b/>
                          <w:sz w:val="22"/>
                          <w:szCs w:val="22"/>
                        </w:rPr>
                        <w:t>5/</w:t>
                      </w:r>
                      <w:r w:rsidR="00767F0F">
                        <w:rPr>
                          <w:rFonts w:ascii="Calibri" w:hAnsi="Calibri" w:cs="Calibri"/>
                          <w:b/>
                          <w:sz w:val="22"/>
                          <w:szCs w:val="22"/>
                        </w:rPr>
                        <w:t>00</w:t>
                      </w:r>
                      <w:r w:rsidR="00934BC3">
                        <w:rPr>
                          <w:rFonts w:ascii="Calibri" w:hAnsi="Calibri" w:cs="Calibri"/>
                          <w:b/>
                          <w:sz w:val="22"/>
                          <w:szCs w:val="22"/>
                        </w:rPr>
                        <w:t>17</w:t>
                      </w:r>
                      <w:r w:rsidR="0053182E">
                        <w:rPr>
                          <w:rFonts w:ascii="Calibri" w:hAnsi="Calibri" w:cs="Calibri"/>
                          <w:b/>
                          <w:sz w:val="22"/>
                          <w:szCs w:val="22"/>
                        </w:rPr>
                        <w:t>9</w:t>
                      </w:r>
                    </w:p>
                    <w:p w14:paraId="458D1D24" w14:textId="7BAE125E" w:rsidR="002A25D7" w:rsidRDefault="002A25D7" w:rsidP="002A25D7">
                      <w:pPr>
                        <w:jc w:val="both"/>
                        <w:rPr>
                          <w:rFonts w:ascii="Calibri" w:hAnsi="Calibri" w:cs="Calibri"/>
                          <w:b/>
                          <w:sz w:val="22"/>
                          <w:szCs w:val="22"/>
                        </w:rPr>
                      </w:pPr>
                      <w:r w:rsidRPr="00493D1E">
                        <w:rPr>
                          <w:rFonts w:ascii="Calibri" w:hAnsi="Calibri" w:cs="Calibri"/>
                          <w:b/>
                          <w:sz w:val="22"/>
                          <w:szCs w:val="22"/>
                        </w:rPr>
                        <w:t>Site Address –</w:t>
                      </w:r>
                      <w:r w:rsidR="00DF7452">
                        <w:rPr>
                          <w:rFonts w:ascii="Calibri" w:hAnsi="Calibri" w:cs="Calibri"/>
                          <w:b/>
                          <w:sz w:val="22"/>
                          <w:szCs w:val="22"/>
                        </w:rPr>
                        <w:t xml:space="preserve"> </w:t>
                      </w:r>
                      <w:r w:rsidR="0053182E">
                        <w:rPr>
                          <w:rFonts w:ascii="Calibri" w:hAnsi="Calibri" w:cs="Calibri"/>
                          <w:b/>
                          <w:sz w:val="22"/>
                          <w:szCs w:val="22"/>
                        </w:rPr>
                        <w:t xml:space="preserve">16,17 and 18 Langstone High Street, Havant </w:t>
                      </w:r>
                    </w:p>
                    <w:p w14:paraId="122D52D5" w14:textId="526B56F6" w:rsidR="00181232" w:rsidRPr="004377FB" w:rsidRDefault="00970669" w:rsidP="00181232">
                      <w:pPr>
                        <w:pStyle w:val="Normal0"/>
                        <w:rPr>
                          <w:rFonts w:ascii="Calibri" w:hAnsi="Calibri" w:cs="Calibri"/>
                          <w:b/>
                          <w:sz w:val="22"/>
                          <w:szCs w:val="22"/>
                        </w:rPr>
                      </w:pPr>
                      <w:r w:rsidRPr="004377FB">
                        <w:rPr>
                          <w:rFonts w:ascii="Calibri" w:hAnsi="Calibri" w:cs="Calibri"/>
                          <w:b/>
                          <w:sz w:val="22"/>
                          <w:szCs w:val="22"/>
                        </w:rPr>
                        <w:t>Proposal</w:t>
                      </w:r>
                      <w:r w:rsidR="00032BAD" w:rsidRPr="004377FB">
                        <w:rPr>
                          <w:rFonts w:ascii="Calibri" w:hAnsi="Calibri" w:cs="Calibri"/>
                          <w:b/>
                          <w:sz w:val="22"/>
                          <w:szCs w:val="22"/>
                        </w:rPr>
                        <w:t xml:space="preserve">: </w:t>
                      </w:r>
                    </w:p>
                    <w:p w14:paraId="30CE3EED" w14:textId="7B8CF1B2" w:rsidR="0027172E" w:rsidRDefault="0027172E" w:rsidP="0027172E">
                      <w:pPr>
                        <w:pStyle w:val="Normal0"/>
                        <w:rPr>
                          <w:rFonts w:ascii="Calibri" w:hAnsi="Calibri" w:cs="Calibri"/>
                          <w:b/>
                          <w:sz w:val="22"/>
                          <w:szCs w:val="22"/>
                        </w:rPr>
                      </w:pPr>
                    </w:p>
                    <w:p w14:paraId="2E571721" w14:textId="77777777" w:rsidR="0053182E" w:rsidRPr="0053182E" w:rsidRDefault="0053182E" w:rsidP="0053182E">
                      <w:pPr>
                        <w:pStyle w:val="Normal0"/>
                        <w:rPr>
                          <w:rFonts w:ascii="Calibri" w:hAnsi="Calibri" w:cs="Calibri"/>
                          <w:b/>
                          <w:sz w:val="22"/>
                          <w:szCs w:val="22"/>
                        </w:rPr>
                      </w:pPr>
                      <w:r w:rsidRPr="0053182E">
                        <w:rPr>
                          <w:rFonts w:ascii="Calibri" w:hAnsi="Calibri" w:cs="Calibri"/>
                          <w:b/>
                          <w:sz w:val="22"/>
                          <w:szCs w:val="22"/>
                        </w:rPr>
                        <w:t>Listed Building Consent for works to 16, 17 &amp; 18 The High Street to include reinforced footpath seaward and new stone-clad seawall with flood glass barrier above.</w:t>
                      </w:r>
                    </w:p>
                    <w:p w14:paraId="3EA736E9" w14:textId="49C58011" w:rsidR="00934BC3" w:rsidRPr="00934BC3" w:rsidRDefault="00934BC3" w:rsidP="00934BC3">
                      <w:pPr>
                        <w:pStyle w:val="Normal0"/>
                        <w:rPr>
                          <w:rFonts w:ascii="Calibri" w:hAnsi="Calibri" w:cs="Calibri"/>
                          <w:b/>
                          <w:sz w:val="22"/>
                          <w:szCs w:val="22"/>
                        </w:rPr>
                      </w:pPr>
                    </w:p>
                    <w:p w14:paraId="3473FDBA" w14:textId="2FF25200" w:rsidR="00C34A68" w:rsidRPr="00C34A68" w:rsidRDefault="00C34A68" w:rsidP="00C34A68">
                      <w:pPr>
                        <w:pStyle w:val="Normal0"/>
                        <w:rPr>
                          <w:rFonts w:ascii="Calibri" w:hAnsi="Calibri" w:cs="Calibri"/>
                          <w:b/>
                          <w:sz w:val="22"/>
                          <w:szCs w:val="22"/>
                        </w:rPr>
                      </w:pPr>
                    </w:p>
                    <w:p w14:paraId="28D5E4F3" w14:textId="3FBABDB0" w:rsidR="000D281E" w:rsidRPr="000D281E" w:rsidRDefault="000D281E" w:rsidP="000D281E">
                      <w:pPr>
                        <w:pStyle w:val="Normal0"/>
                        <w:rPr>
                          <w:rFonts w:ascii="Calibri" w:hAnsi="Calibri" w:cs="Calibri"/>
                          <w:b/>
                          <w:sz w:val="22"/>
                          <w:szCs w:val="22"/>
                        </w:rPr>
                      </w:pPr>
                    </w:p>
                    <w:p w14:paraId="2D2B76F5" w14:textId="0EC5A034" w:rsidR="000C6896" w:rsidRPr="000C6896" w:rsidRDefault="000C6896" w:rsidP="000C6896">
                      <w:pPr>
                        <w:pStyle w:val="Normal0"/>
                        <w:rPr>
                          <w:rFonts w:ascii="Calibri" w:hAnsi="Calibri" w:cs="Calibri"/>
                          <w:b/>
                          <w:sz w:val="22"/>
                          <w:szCs w:val="22"/>
                        </w:rPr>
                      </w:pPr>
                    </w:p>
                    <w:p w14:paraId="3857469C" w14:textId="77777777" w:rsidR="000C6896" w:rsidRPr="0027172E" w:rsidRDefault="000C6896" w:rsidP="0027172E">
                      <w:pPr>
                        <w:pStyle w:val="Normal0"/>
                        <w:rPr>
                          <w:rFonts w:ascii="Calibri" w:hAnsi="Calibri" w:cs="Calibri"/>
                          <w:b/>
                          <w:sz w:val="22"/>
                          <w:szCs w:val="22"/>
                        </w:rPr>
                      </w:pPr>
                    </w:p>
                    <w:p w14:paraId="293CC352" w14:textId="2C17538F" w:rsidR="001B4EEA" w:rsidRPr="001B4EEA" w:rsidRDefault="001B4EEA" w:rsidP="001B4EEA">
                      <w:pPr>
                        <w:pStyle w:val="Normal0"/>
                        <w:rPr>
                          <w:rFonts w:ascii="Calibri" w:hAnsi="Calibri" w:cs="Calibri"/>
                          <w:b/>
                          <w:sz w:val="22"/>
                          <w:szCs w:val="22"/>
                        </w:rPr>
                      </w:pPr>
                    </w:p>
                    <w:p w14:paraId="59A277A2" w14:textId="52DAC915" w:rsidR="00767F0F" w:rsidRPr="00767F0F" w:rsidRDefault="00767F0F" w:rsidP="00767F0F">
                      <w:pPr>
                        <w:pStyle w:val="Normal0"/>
                        <w:rPr>
                          <w:rFonts w:ascii="Calibri" w:hAnsi="Calibri" w:cs="Calibri"/>
                          <w:b/>
                          <w:sz w:val="22"/>
                          <w:szCs w:val="22"/>
                        </w:rPr>
                      </w:pPr>
                    </w:p>
                    <w:p w14:paraId="4DAB7F95" w14:textId="77777777" w:rsidR="00032BAD" w:rsidRDefault="00032BAD" w:rsidP="00181232">
                      <w:pPr>
                        <w:pStyle w:val="Normal0"/>
                        <w:rPr>
                          <w:rFonts w:ascii="Calibri" w:hAnsi="Calibri" w:cs="Calibri"/>
                          <w:b/>
                          <w:sz w:val="22"/>
                          <w:szCs w:val="22"/>
                        </w:rPr>
                      </w:pPr>
                    </w:p>
                    <w:p w14:paraId="089E10F1" w14:textId="77777777" w:rsidR="00032BAD" w:rsidRDefault="00032BAD" w:rsidP="00181232">
                      <w:pPr>
                        <w:pStyle w:val="Normal0"/>
                        <w:rPr>
                          <w:rFonts w:ascii="Calibri" w:hAnsi="Calibri" w:cs="Calibri"/>
                          <w:b/>
                          <w:sz w:val="22"/>
                          <w:szCs w:val="22"/>
                        </w:rPr>
                      </w:pPr>
                    </w:p>
                    <w:p w14:paraId="225E0856" w14:textId="77777777" w:rsidR="00032BAD" w:rsidRDefault="00032BAD" w:rsidP="00181232">
                      <w:pPr>
                        <w:pStyle w:val="Normal0"/>
                        <w:rPr>
                          <w:rFonts w:ascii="Calibri" w:hAnsi="Calibri" w:cs="Calibri"/>
                          <w:b/>
                          <w:sz w:val="22"/>
                          <w:szCs w:val="22"/>
                        </w:rPr>
                      </w:pPr>
                    </w:p>
                    <w:p w14:paraId="21349658" w14:textId="77777777" w:rsidR="00032BAD" w:rsidRDefault="00032BAD" w:rsidP="00181232">
                      <w:pPr>
                        <w:pStyle w:val="Normal0"/>
                        <w:rPr>
                          <w:sz w:val="22"/>
                          <w:szCs w:val="22"/>
                        </w:rPr>
                      </w:pPr>
                    </w:p>
                    <w:p w14:paraId="53955D28" w14:textId="6FCF6E8C" w:rsidR="002727E7" w:rsidRPr="000B007A" w:rsidRDefault="002727E7" w:rsidP="00272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Cs/>
                          <w:kern w:val="0"/>
                          <w:sz w:val="22"/>
                          <w:szCs w:val="22"/>
                        </w:rPr>
                      </w:pPr>
                    </w:p>
                    <w:p w14:paraId="6C93293B" w14:textId="2423B53B" w:rsidR="009A6F4C" w:rsidRDefault="009A6F4C" w:rsidP="009A6F4C">
                      <w:pPr>
                        <w:pStyle w:val="Normal0"/>
                        <w:rPr>
                          <w:sz w:val="22"/>
                          <w:szCs w:val="22"/>
                        </w:rPr>
                      </w:pPr>
                    </w:p>
                    <w:p w14:paraId="64A1B298" w14:textId="77777777" w:rsidR="009A6F4C" w:rsidRDefault="009A6F4C" w:rsidP="009A6F4C">
                      <w:pPr>
                        <w:pStyle w:val="Normal0"/>
                        <w:rPr>
                          <w:sz w:val="22"/>
                          <w:szCs w:val="22"/>
                        </w:rPr>
                      </w:pPr>
                    </w:p>
                    <w:p w14:paraId="6137D28E" w14:textId="2A4D5C4B" w:rsidR="00970669" w:rsidRDefault="00970669" w:rsidP="00970669">
                      <w:pPr>
                        <w:pStyle w:val="Normal0"/>
                        <w:rPr>
                          <w:sz w:val="22"/>
                          <w:szCs w:val="22"/>
                        </w:rPr>
                      </w:pPr>
                    </w:p>
                    <w:p w14:paraId="2C094B08" w14:textId="359587E6" w:rsidR="00970669" w:rsidRPr="00493D1E" w:rsidRDefault="00970669" w:rsidP="002A25D7">
                      <w:pPr>
                        <w:jc w:val="both"/>
                        <w:rPr>
                          <w:rFonts w:ascii="Calibri" w:hAnsi="Calibri" w:cs="Calibri"/>
                          <w:b/>
                          <w:sz w:val="22"/>
                          <w:szCs w:val="22"/>
                        </w:rPr>
                      </w:pPr>
                    </w:p>
                    <w:p w14:paraId="4E87FFBD" w14:textId="6FE9BEBA" w:rsidR="00D376DF" w:rsidRDefault="00D376DF"/>
                  </w:txbxContent>
                </v:textbox>
                <w10:wrap type="square"/>
              </v:shape>
            </w:pict>
          </mc:Fallback>
        </mc:AlternateContent>
      </w:r>
      <w:r w:rsidR="00CD18F5" w:rsidRPr="00493D1E">
        <w:rPr>
          <w:rFonts w:ascii="Calibri" w:hAnsi="Calibri" w:cs="Calibri"/>
          <w:b/>
          <w:sz w:val="22"/>
          <w:szCs w:val="22"/>
        </w:rPr>
        <w:t>Heritage Consultation Response</w:t>
      </w:r>
    </w:p>
    <w:p w14:paraId="5EDE8556" w14:textId="49F0020F" w:rsidR="00B335BB" w:rsidRDefault="00B12D34" w:rsidP="009D1590">
      <w:pPr>
        <w:rPr>
          <w:rFonts w:ascii="Calibri" w:hAnsi="Calibri" w:cs="Calibri"/>
          <w:b/>
          <w:bCs/>
          <w:sz w:val="22"/>
          <w:szCs w:val="22"/>
        </w:rPr>
      </w:pPr>
      <w:r w:rsidRPr="00493D1E">
        <w:rPr>
          <w:rFonts w:ascii="Calibri" w:hAnsi="Calibri" w:cs="Calibri"/>
          <w:b/>
          <w:bCs/>
          <w:sz w:val="22"/>
          <w:szCs w:val="22"/>
          <w:highlight w:val="lightGray"/>
        </w:rPr>
        <w:t>Site / Location</w:t>
      </w:r>
      <w:r w:rsidRPr="00493D1E">
        <w:rPr>
          <w:rFonts w:ascii="Calibri" w:hAnsi="Calibri" w:cs="Calibri"/>
          <w:b/>
          <w:bCs/>
          <w:sz w:val="22"/>
          <w:szCs w:val="22"/>
        </w:rPr>
        <w:t xml:space="preserve"> </w:t>
      </w:r>
      <w:r w:rsidR="009D1590">
        <w:rPr>
          <w:rFonts w:ascii="Calibri" w:hAnsi="Calibri" w:cs="Calibri"/>
          <w:b/>
          <w:bCs/>
          <w:sz w:val="22"/>
          <w:szCs w:val="22"/>
        </w:rPr>
        <w:t xml:space="preserve"> </w:t>
      </w:r>
    </w:p>
    <w:p w14:paraId="3A488B80" w14:textId="5BA66EC0" w:rsidR="008A4829" w:rsidRDefault="008A4829" w:rsidP="008A4829">
      <w:pPr>
        <w:jc w:val="both"/>
        <w:rPr>
          <w:rFonts w:ascii="Calibri" w:hAnsi="Calibri" w:cs="Calibri"/>
          <w:sz w:val="22"/>
          <w:szCs w:val="22"/>
        </w:rPr>
      </w:pPr>
      <w:r>
        <w:rPr>
          <w:rFonts w:ascii="Calibri" w:hAnsi="Calibri" w:cs="Calibri"/>
          <w:sz w:val="22"/>
          <w:szCs w:val="22"/>
        </w:rPr>
        <w:t xml:space="preserve">The application site is located on Langstone High Street. It comprises No’s 16, 17 and 18 Langstone High Street, all of which are Grade II listed. The listing description from Historic England is included below: </w:t>
      </w:r>
    </w:p>
    <w:p w14:paraId="59761722" w14:textId="09FCF8AE" w:rsidR="008A4829" w:rsidRPr="008A4829" w:rsidRDefault="008A4829" w:rsidP="008A4829">
      <w:pPr>
        <w:jc w:val="both"/>
        <w:rPr>
          <w:rFonts w:ascii="Calibri" w:hAnsi="Calibri" w:cs="Calibri"/>
          <w:i/>
          <w:iCs/>
          <w:sz w:val="22"/>
          <w:szCs w:val="22"/>
        </w:rPr>
      </w:pPr>
      <w:r w:rsidRPr="008A4829">
        <w:rPr>
          <w:rFonts w:ascii="Calibri" w:hAnsi="Calibri" w:cs="Calibri"/>
          <w:i/>
          <w:iCs/>
          <w:sz w:val="22"/>
          <w:szCs w:val="22"/>
        </w:rPr>
        <w:t xml:space="preserve">‘Houses of timber-framed origin. C18 with C20 alterations. Rendered walling, tiled roofing. 2 storeys and attic, 4 above 5 windows. Upper casements, lower sashes. Side </w:t>
      </w:r>
      <w:proofErr w:type="gramStart"/>
      <w:r w:rsidRPr="008A4829">
        <w:rPr>
          <w:rFonts w:ascii="Calibri" w:hAnsi="Calibri" w:cs="Calibri"/>
          <w:i/>
          <w:iCs/>
          <w:sz w:val="22"/>
          <w:szCs w:val="22"/>
        </w:rPr>
        <w:t>entrances’</w:t>
      </w:r>
      <w:proofErr w:type="gramEnd"/>
      <w:r w:rsidRPr="008A4829">
        <w:rPr>
          <w:rFonts w:ascii="Calibri" w:hAnsi="Calibri" w:cs="Calibri"/>
          <w:i/>
          <w:iCs/>
          <w:sz w:val="22"/>
          <w:szCs w:val="22"/>
        </w:rPr>
        <w:t>.</w:t>
      </w:r>
    </w:p>
    <w:p w14:paraId="1AF80CEB" w14:textId="12F7CD96" w:rsidR="00C34A68" w:rsidRDefault="008A4829" w:rsidP="008A4829">
      <w:pPr>
        <w:jc w:val="both"/>
        <w:rPr>
          <w:rFonts w:ascii="Calibri" w:hAnsi="Calibri" w:cs="Calibri"/>
          <w:b/>
          <w:bCs/>
          <w:sz w:val="22"/>
          <w:szCs w:val="22"/>
        </w:rPr>
      </w:pPr>
      <w:r>
        <w:rPr>
          <w:rFonts w:ascii="Calibri" w:hAnsi="Calibri" w:cs="Calibri"/>
          <w:sz w:val="22"/>
          <w:szCs w:val="22"/>
        </w:rPr>
        <w:t>The buildings are located within the Langstone Conservation Area. The front elevation faces onto Chichester Harbour, with the existing coastal footpath being positioned directly in front of the listed buildings. To the immediate east of No. 18 is the Royal Oak Public House, also a Grade II listed building.</w:t>
      </w:r>
    </w:p>
    <w:p w14:paraId="6F8BE53F" w14:textId="24444FAB" w:rsidR="00B12D34" w:rsidRDefault="00B12D34" w:rsidP="00B12D34">
      <w:pPr>
        <w:jc w:val="both"/>
        <w:rPr>
          <w:rFonts w:ascii="Calibri" w:hAnsi="Calibri" w:cs="Calibri"/>
          <w:b/>
          <w:bCs/>
          <w:sz w:val="22"/>
          <w:szCs w:val="22"/>
        </w:rPr>
      </w:pPr>
      <w:r w:rsidRPr="00493D1E">
        <w:rPr>
          <w:rFonts w:ascii="Calibri" w:hAnsi="Calibri" w:cs="Calibri"/>
          <w:b/>
          <w:bCs/>
          <w:sz w:val="22"/>
          <w:szCs w:val="22"/>
          <w:highlight w:val="lightGray"/>
        </w:rPr>
        <w:t>Legislation</w:t>
      </w:r>
      <w:r w:rsidRPr="00493D1E">
        <w:rPr>
          <w:rFonts w:ascii="Calibri" w:hAnsi="Calibri" w:cs="Calibri"/>
          <w:b/>
          <w:bCs/>
          <w:sz w:val="22"/>
          <w:szCs w:val="22"/>
        </w:rPr>
        <w:t xml:space="preserve"> </w:t>
      </w:r>
    </w:p>
    <w:p w14:paraId="6493C6AF" w14:textId="77777777" w:rsidR="008A4829" w:rsidRPr="002B0935" w:rsidRDefault="008A4829" w:rsidP="008A4829">
      <w:pPr>
        <w:jc w:val="both"/>
        <w:rPr>
          <w:rFonts w:ascii="Calibri" w:hAnsi="Calibri" w:cs="Calibri"/>
          <w:sz w:val="22"/>
          <w:szCs w:val="22"/>
        </w:rPr>
      </w:pPr>
      <w:r w:rsidRPr="002B0935">
        <w:rPr>
          <w:rFonts w:ascii="Calibri" w:hAnsi="Calibri" w:cs="Calibri"/>
          <w:sz w:val="22"/>
          <w:szCs w:val="22"/>
        </w:rPr>
        <w:t xml:space="preserve">In assessing the proposal, the following legislation and policy framework has been </w:t>
      </w:r>
      <w:proofErr w:type="gramStart"/>
      <w:r w:rsidRPr="002B0935">
        <w:rPr>
          <w:rFonts w:ascii="Calibri" w:hAnsi="Calibri" w:cs="Calibri"/>
          <w:sz w:val="22"/>
          <w:szCs w:val="22"/>
        </w:rPr>
        <w:t>taken into account</w:t>
      </w:r>
      <w:proofErr w:type="gramEnd"/>
      <w:r w:rsidRPr="002B0935">
        <w:rPr>
          <w:rFonts w:ascii="Calibri" w:hAnsi="Calibri" w:cs="Calibri"/>
          <w:sz w:val="22"/>
          <w:szCs w:val="22"/>
        </w:rPr>
        <w:t>:</w:t>
      </w:r>
    </w:p>
    <w:p w14:paraId="143A1A4B" w14:textId="77777777" w:rsidR="008A4829" w:rsidRPr="002B0935" w:rsidRDefault="008A4829" w:rsidP="008A4829">
      <w:pPr>
        <w:jc w:val="both"/>
        <w:rPr>
          <w:rFonts w:ascii="Calibri" w:hAnsi="Calibri" w:cs="Calibri"/>
          <w:sz w:val="22"/>
          <w:szCs w:val="22"/>
        </w:rPr>
      </w:pPr>
      <w:r w:rsidRPr="002B0935">
        <w:rPr>
          <w:rFonts w:ascii="Calibri" w:hAnsi="Calibri" w:cs="Calibri"/>
          <w:sz w:val="22"/>
          <w:szCs w:val="22"/>
        </w:rPr>
        <w:t>Planning (Listed Buildings and Conservation Areas) Act 1990</w:t>
      </w:r>
    </w:p>
    <w:p w14:paraId="140F663F" w14:textId="77777777" w:rsidR="008A4829" w:rsidRPr="002B0935" w:rsidRDefault="008A4829" w:rsidP="008A4829">
      <w:pPr>
        <w:numPr>
          <w:ilvl w:val="0"/>
          <w:numId w:val="20"/>
        </w:numPr>
        <w:jc w:val="both"/>
        <w:rPr>
          <w:rFonts w:ascii="Calibri" w:hAnsi="Calibri" w:cs="Calibri"/>
          <w:sz w:val="22"/>
          <w:szCs w:val="22"/>
        </w:rPr>
      </w:pPr>
      <w:r w:rsidRPr="002B0935">
        <w:rPr>
          <w:rFonts w:ascii="Calibri" w:hAnsi="Calibri" w:cs="Calibri"/>
          <w:sz w:val="22"/>
          <w:szCs w:val="22"/>
        </w:rPr>
        <w:t>Section 16 of the Planning (Listed Buildings and Conservation Areas) Act 1990 requires local planning authorities, when considering whether to grant listed building consent, to have special regard to the desirability of preserving the listed building, its setting, and any features of special architectural or historic interest which it possesses.</w:t>
      </w:r>
    </w:p>
    <w:p w14:paraId="17DD080F" w14:textId="4989ECE1" w:rsidR="002A25D7" w:rsidRPr="00F956D3" w:rsidRDefault="002A25D7" w:rsidP="00F956D3">
      <w:pPr>
        <w:jc w:val="both"/>
        <w:rPr>
          <w:rFonts w:ascii="Calibri" w:hAnsi="Calibri" w:cs="Calibri"/>
          <w:sz w:val="22"/>
          <w:szCs w:val="22"/>
        </w:rPr>
      </w:pPr>
      <w:r w:rsidRPr="00F956D3">
        <w:rPr>
          <w:rFonts w:ascii="Calibri" w:hAnsi="Calibri" w:cs="Calibri"/>
          <w:b/>
          <w:bCs/>
          <w:sz w:val="22"/>
          <w:szCs w:val="22"/>
          <w:u w:val="single"/>
        </w:rPr>
        <w:t xml:space="preserve">National Planning Policy Framework </w:t>
      </w:r>
      <w:r w:rsidR="00B374C1" w:rsidRPr="00F956D3">
        <w:rPr>
          <w:rFonts w:ascii="Calibri" w:hAnsi="Calibri" w:cs="Calibri"/>
          <w:b/>
          <w:bCs/>
          <w:sz w:val="22"/>
          <w:szCs w:val="22"/>
          <w:u w:val="single"/>
        </w:rPr>
        <w:t>(revised</w:t>
      </w:r>
      <w:r w:rsidRPr="00F956D3">
        <w:rPr>
          <w:rFonts w:ascii="Calibri" w:hAnsi="Calibri" w:cs="Calibri"/>
          <w:b/>
          <w:bCs/>
          <w:sz w:val="22"/>
          <w:szCs w:val="22"/>
          <w:u w:val="single"/>
        </w:rPr>
        <w:t xml:space="preserve"> </w:t>
      </w:r>
      <w:r w:rsidR="00FA12C0" w:rsidRPr="00F956D3">
        <w:rPr>
          <w:rFonts w:ascii="Calibri" w:hAnsi="Calibri" w:cs="Calibri"/>
          <w:b/>
          <w:bCs/>
          <w:sz w:val="22"/>
          <w:szCs w:val="22"/>
          <w:u w:val="single"/>
        </w:rPr>
        <w:t>December</w:t>
      </w:r>
      <w:r w:rsidRPr="00F956D3">
        <w:rPr>
          <w:rFonts w:ascii="Calibri" w:hAnsi="Calibri" w:cs="Calibri"/>
          <w:b/>
          <w:bCs/>
          <w:sz w:val="22"/>
          <w:szCs w:val="22"/>
          <w:u w:val="single"/>
        </w:rPr>
        <w:t xml:space="preserve"> 202</w:t>
      </w:r>
      <w:r w:rsidR="00FA12C0" w:rsidRPr="00F956D3">
        <w:rPr>
          <w:rFonts w:ascii="Calibri" w:hAnsi="Calibri" w:cs="Calibri"/>
          <w:b/>
          <w:bCs/>
          <w:sz w:val="22"/>
          <w:szCs w:val="22"/>
          <w:u w:val="single"/>
        </w:rPr>
        <w:t>4</w:t>
      </w:r>
      <w:r w:rsidRPr="00F956D3">
        <w:rPr>
          <w:rFonts w:ascii="Calibri" w:hAnsi="Calibri" w:cs="Calibri"/>
          <w:b/>
          <w:bCs/>
          <w:sz w:val="22"/>
          <w:szCs w:val="22"/>
          <w:u w:val="single"/>
        </w:rPr>
        <w:t>)</w:t>
      </w:r>
    </w:p>
    <w:p w14:paraId="7E853341" w14:textId="77777777" w:rsidR="00EE1032" w:rsidRPr="00B74C5D" w:rsidRDefault="00EE1032" w:rsidP="00EE1032">
      <w:pPr>
        <w:jc w:val="both"/>
        <w:rPr>
          <w:rFonts w:ascii="Calibri" w:hAnsi="Calibri" w:cs="Calibri"/>
          <w:sz w:val="22"/>
          <w:szCs w:val="22"/>
        </w:rPr>
      </w:pPr>
      <w:r w:rsidRPr="00B74C5D">
        <w:rPr>
          <w:rFonts w:ascii="Calibri" w:hAnsi="Calibri" w:cs="Calibri"/>
          <w:sz w:val="22"/>
          <w:szCs w:val="22"/>
        </w:rPr>
        <w:t>Chapter 16 of the National Planning Policy Framework (NPPF) relates to Conserving and Enhancing the Historic Environment (paragraphs 202–221). The following policies are most relevant to the determination of this application:</w:t>
      </w:r>
    </w:p>
    <w:p w14:paraId="570C49AF" w14:textId="77777777" w:rsidR="00EE1032" w:rsidRPr="00B74C5D" w:rsidRDefault="00EE1032" w:rsidP="00EE1032">
      <w:pPr>
        <w:numPr>
          <w:ilvl w:val="0"/>
          <w:numId w:val="21"/>
        </w:numPr>
        <w:jc w:val="both"/>
        <w:rPr>
          <w:rFonts w:ascii="Calibri" w:hAnsi="Calibri" w:cs="Calibri"/>
          <w:sz w:val="22"/>
          <w:szCs w:val="22"/>
        </w:rPr>
      </w:pPr>
      <w:r w:rsidRPr="00B74C5D">
        <w:rPr>
          <w:rFonts w:ascii="Calibri" w:hAnsi="Calibri" w:cs="Calibri"/>
          <w:sz w:val="22"/>
          <w:szCs w:val="22"/>
        </w:rPr>
        <w:t>Paragraph 212 states that:</w:t>
      </w:r>
    </w:p>
    <w:p w14:paraId="0D73AF32" w14:textId="77777777" w:rsidR="00EE1032" w:rsidRPr="00B74C5D" w:rsidRDefault="00EE1032" w:rsidP="00EE1032">
      <w:pPr>
        <w:jc w:val="both"/>
        <w:rPr>
          <w:rFonts w:ascii="Calibri" w:hAnsi="Calibri" w:cs="Calibri"/>
          <w:b/>
          <w:bCs/>
          <w:sz w:val="22"/>
          <w:szCs w:val="22"/>
          <w:u w:val="single"/>
        </w:rPr>
      </w:pPr>
      <w:r w:rsidRPr="00B74C5D">
        <w:rPr>
          <w:rFonts w:ascii="Calibri" w:hAnsi="Calibri" w:cs="Calibri"/>
          <w:i/>
          <w:iCs/>
          <w:sz w:val="22"/>
          <w:szCs w:val="22"/>
        </w:rPr>
        <w:t>“When considering the impact of a proposed development on the significance of a designated heritage asset, great weight should be given to the asset’s conservation (and the more important the asset, the greater the weight should be). This is irrespective of whether any potential harm amounts to substantial harm, total loss or less than substantial harm to its significance.”</w:t>
      </w:r>
    </w:p>
    <w:p w14:paraId="2A14C4DE" w14:textId="77777777" w:rsidR="00EE1032" w:rsidRPr="00B74C5D" w:rsidRDefault="00EE1032" w:rsidP="00EE1032">
      <w:pPr>
        <w:numPr>
          <w:ilvl w:val="0"/>
          <w:numId w:val="21"/>
        </w:numPr>
        <w:jc w:val="both"/>
        <w:rPr>
          <w:rFonts w:ascii="Calibri" w:hAnsi="Calibri" w:cs="Calibri"/>
          <w:sz w:val="22"/>
          <w:szCs w:val="22"/>
        </w:rPr>
      </w:pPr>
      <w:r w:rsidRPr="00B74C5D">
        <w:rPr>
          <w:rFonts w:ascii="Calibri" w:hAnsi="Calibri" w:cs="Calibri"/>
          <w:sz w:val="22"/>
          <w:szCs w:val="22"/>
        </w:rPr>
        <w:lastRenderedPageBreak/>
        <w:t>Paragraph 214 states that:</w:t>
      </w:r>
    </w:p>
    <w:p w14:paraId="79D138DC" w14:textId="77777777" w:rsidR="00EE1032" w:rsidRPr="00B74C5D" w:rsidRDefault="00EE1032" w:rsidP="00EE1032">
      <w:pPr>
        <w:jc w:val="both"/>
        <w:rPr>
          <w:rFonts w:ascii="Calibri" w:hAnsi="Calibri" w:cs="Calibri"/>
          <w:sz w:val="22"/>
          <w:szCs w:val="22"/>
        </w:rPr>
      </w:pPr>
      <w:r w:rsidRPr="00B74C5D">
        <w:rPr>
          <w:rFonts w:ascii="Calibri" w:hAnsi="Calibri" w:cs="Calibri"/>
          <w:i/>
          <w:iCs/>
          <w:sz w:val="22"/>
          <w:szCs w:val="22"/>
        </w:rPr>
        <w:t>“Where a development will lead to substantial harm to, or total loss of, the significance of a designated heritage asset, permission should be refused, unless it can be demonstrated that the harm is necessary to achieve substantial public benefits, or certain specified criteria are met.”</w:t>
      </w:r>
    </w:p>
    <w:p w14:paraId="6A7F434F" w14:textId="77777777" w:rsidR="00EE1032" w:rsidRPr="00B74C5D" w:rsidRDefault="00EE1032" w:rsidP="00EE1032">
      <w:pPr>
        <w:numPr>
          <w:ilvl w:val="0"/>
          <w:numId w:val="21"/>
        </w:numPr>
        <w:jc w:val="both"/>
        <w:rPr>
          <w:rFonts w:ascii="Calibri" w:hAnsi="Calibri" w:cs="Calibri"/>
          <w:sz w:val="22"/>
          <w:szCs w:val="22"/>
        </w:rPr>
      </w:pPr>
      <w:r w:rsidRPr="00B74C5D">
        <w:rPr>
          <w:rFonts w:ascii="Calibri" w:hAnsi="Calibri" w:cs="Calibri"/>
          <w:sz w:val="22"/>
          <w:szCs w:val="22"/>
        </w:rPr>
        <w:t>Paragraph 215 states that:</w:t>
      </w:r>
    </w:p>
    <w:p w14:paraId="23445738" w14:textId="12222B5E" w:rsidR="00F956D3" w:rsidRPr="00EE1032" w:rsidRDefault="00EE1032" w:rsidP="00B12D34">
      <w:pPr>
        <w:jc w:val="both"/>
        <w:rPr>
          <w:rFonts w:ascii="Calibri" w:hAnsi="Calibri" w:cs="Calibri"/>
          <w:sz w:val="22"/>
          <w:szCs w:val="22"/>
        </w:rPr>
      </w:pPr>
      <w:r w:rsidRPr="00B74C5D">
        <w:rPr>
          <w:rFonts w:ascii="Calibri" w:hAnsi="Calibri" w:cs="Calibri"/>
          <w:i/>
          <w:iCs/>
          <w:sz w:val="22"/>
          <w:szCs w:val="22"/>
        </w:rPr>
        <w:t>“Where a development proposal will lead to less than substantial harm to the significance of a designated heritage asset, this harm should be weighed against the public benefits of the proposal, including, where appropriate, securing its optimum viable use.”</w:t>
      </w:r>
    </w:p>
    <w:p w14:paraId="2DCC8E94" w14:textId="6F336F5E" w:rsidR="00B374C1" w:rsidRPr="00493D1E" w:rsidRDefault="00B374C1" w:rsidP="00B12D34">
      <w:pPr>
        <w:jc w:val="both"/>
        <w:rPr>
          <w:rFonts w:ascii="Calibri" w:hAnsi="Calibri" w:cs="Calibri"/>
          <w:b/>
          <w:bCs/>
          <w:sz w:val="22"/>
          <w:szCs w:val="22"/>
          <w:u w:val="single"/>
        </w:rPr>
      </w:pPr>
      <w:r w:rsidRPr="00493D1E">
        <w:rPr>
          <w:rFonts w:ascii="Calibri" w:hAnsi="Calibri" w:cs="Calibri"/>
          <w:b/>
          <w:bCs/>
          <w:sz w:val="22"/>
          <w:szCs w:val="22"/>
          <w:u w:val="single"/>
        </w:rPr>
        <w:t>Havant Borough Local Plan (Core Strategy 2011 and Allocations Plan 2014)</w:t>
      </w:r>
    </w:p>
    <w:p w14:paraId="198AAFE1" w14:textId="51BABED4" w:rsidR="00B374C1" w:rsidRPr="00493D1E" w:rsidRDefault="00B374C1" w:rsidP="00B12D34">
      <w:pPr>
        <w:jc w:val="both"/>
        <w:rPr>
          <w:rFonts w:ascii="Calibri" w:hAnsi="Calibri" w:cs="Calibri"/>
          <w:b/>
          <w:bCs/>
          <w:sz w:val="22"/>
          <w:szCs w:val="22"/>
        </w:rPr>
      </w:pPr>
      <w:r w:rsidRPr="00493D1E">
        <w:rPr>
          <w:rFonts w:ascii="Calibri" w:hAnsi="Calibri" w:cs="Calibri"/>
          <w:b/>
          <w:bCs/>
          <w:sz w:val="22"/>
          <w:szCs w:val="22"/>
        </w:rPr>
        <w:t xml:space="preserve">Policy CS11 </w:t>
      </w:r>
      <w:r w:rsidR="002F6E50" w:rsidRPr="00493D1E">
        <w:rPr>
          <w:rFonts w:ascii="Calibri" w:hAnsi="Calibri" w:cs="Calibri"/>
          <w:b/>
          <w:bCs/>
          <w:sz w:val="22"/>
          <w:szCs w:val="22"/>
        </w:rPr>
        <w:t>–</w:t>
      </w:r>
      <w:r w:rsidRPr="00493D1E">
        <w:rPr>
          <w:rFonts w:ascii="Calibri" w:hAnsi="Calibri" w:cs="Calibri"/>
          <w:b/>
          <w:bCs/>
          <w:sz w:val="22"/>
          <w:szCs w:val="22"/>
        </w:rPr>
        <w:t xml:space="preserve"> </w:t>
      </w:r>
      <w:r w:rsidR="002F6E50" w:rsidRPr="00493D1E">
        <w:rPr>
          <w:rFonts w:ascii="Calibri" w:hAnsi="Calibri" w:cs="Calibri"/>
          <w:b/>
          <w:bCs/>
          <w:sz w:val="22"/>
          <w:szCs w:val="22"/>
        </w:rPr>
        <w:t>Protecting and Enhancing the Special Environment and Heritage of the Havant Borough</w:t>
      </w:r>
    </w:p>
    <w:p w14:paraId="01A18618" w14:textId="0FD63D68" w:rsidR="00B374C1" w:rsidRPr="00493D1E" w:rsidRDefault="002F6E50" w:rsidP="00B374C1">
      <w:pPr>
        <w:jc w:val="both"/>
        <w:rPr>
          <w:rFonts w:ascii="Calibri" w:hAnsi="Calibri" w:cs="Calibri"/>
          <w:bCs/>
          <w:sz w:val="22"/>
          <w:szCs w:val="22"/>
        </w:rPr>
      </w:pPr>
      <w:r w:rsidRPr="00493D1E">
        <w:rPr>
          <w:rFonts w:ascii="Calibri" w:hAnsi="Calibri" w:cs="Calibri"/>
          <w:sz w:val="22"/>
          <w:szCs w:val="22"/>
        </w:rPr>
        <w:t xml:space="preserve">Policy CS11 (4) states that </w:t>
      </w:r>
      <w:r w:rsidR="00B374C1" w:rsidRPr="00493D1E">
        <w:rPr>
          <w:rFonts w:ascii="Calibri" w:hAnsi="Calibri" w:cs="Calibri"/>
          <w:bCs/>
          <w:sz w:val="22"/>
          <w:szCs w:val="22"/>
        </w:rPr>
        <w:t xml:space="preserve">planning permission will be granted for development </w:t>
      </w:r>
      <w:r w:rsidRPr="00493D1E">
        <w:rPr>
          <w:rFonts w:ascii="Calibri" w:hAnsi="Calibri" w:cs="Calibri"/>
          <w:bCs/>
          <w:sz w:val="22"/>
          <w:szCs w:val="22"/>
        </w:rPr>
        <w:t xml:space="preserve">which: </w:t>
      </w:r>
    </w:p>
    <w:p w14:paraId="2CA1E6DD" w14:textId="596C7417" w:rsidR="00B374C1" w:rsidRPr="00493D1E" w:rsidRDefault="002F6E50" w:rsidP="00B374C1">
      <w:pPr>
        <w:jc w:val="both"/>
        <w:rPr>
          <w:rFonts w:ascii="Calibri" w:hAnsi="Calibri" w:cs="Calibri"/>
          <w:i/>
          <w:iCs/>
          <w:sz w:val="22"/>
          <w:szCs w:val="22"/>
        </w:rPr>
      </w:pPr>
      <w:r w:rsidRPr="00493D1E">
        <w:rPr>
          <w:rFonts w:ascii="Calibri" w:hAnsi="Calibri" w:cs="Calibri"/>
          <w:i/>
          <w:iCs/>
          <w:sz w:val="22"/>
          <w:szCs w:val="22"/>
        </w:rPr>
        <w:t>‘</w:t>
      </w:r>
      <w:r w:rsidR="00B374C1" w:rsidRPr="00493D1E">
        <w:rPr>
          <w:rFonts w:ascii="Calibri" w:hAnsi="Calibri" w:cs="Calibri"/>
          <w:i/>
          <w:iCs/>
          <w:sz w:val="22"/>
          <w:szCs w:val="22"/>
        </w:rPr>
        <w:t>Protects and where appropriate enhances the borough’s statutory and non-statutory heritage designations by appropriately managing development in or adjacent to conservation areas, listed buildings, scheduled ancient monuments, historic parks and gardens, archaeological sites, buildings of local historic or architectural interest</w:t>
      </w:r>
      <w:r w:rsidRPr="00493D1E">
        <w:rPr>
          <w:rFonts w:ascii="Calibri" w:hAnsi="Calibri" w:cs="Calibri"/>
          <w:i/>
          <w:iCs/>
          <w:sz w:val="22"/>
          <w:szCs w:val="22"/>
        </w:rPr>
        <w:t>’</w:t>
      </w:r>
      <w:r w:rsidR="00B374C1" w:rsidRPr="00493D1E">
        <w:rPr>
          <w:rFonts w:ascii="Calibri" w:hAnsi="Calibri" w:cs="Calibri"/>
          <w:i/>
          <w:iCs/>
          <w:sz w:val="22"/>
          <w:szCs w:val="22"/>
        </w:rPr>
        <w:t>.</w:t>
      </w:r>
    </w:p>
    <w:p w14:paraId="640D0AA1" w14:textId="475EAA5A" w:rsidR="002F6E50" w:rsidRPr="00493D1E" w:rsidRDefault="002F6E50" w:rsidP="00B374C1">
      <w:pPr>
        <w:jc w:val="both"/>
        <w:rPr>
          <w:rFonts w:ascii="Calibri" w:hAnsi="Calibri" w:cs="Calibri"/>
          <w:b/>
          <w:bCs/>
          <w:sz w:val="22"/>
          <w:szCs w:val="22"/>
        </w:rPr>
      </w:pPr>
      <w:r w:rsidRPr="00493D1E">
        <w:rPr>
          <w:rFonts w:ascii="Calibri" w:hAnsi="Calibri" w:cs="Calibri"/>
          <w:b/>
          <w:bCs/>
          <w:sz w:val="22"/>
          <w:szCs w:val="22"/>
        </w:rPr>
        <w:t xml:space="preserve">Policy CS16 – High Quality Design </w:t>
      </w:r>
    </w:p>
    <w:p w14:paraId="2296A468" w14:textId="77777777" w:rsidR="00A75182" w:rsidRPr="00493D1E" w:rsidRDefault="00B374C1" w:rsidP="00B374C1">
      <w:pPr>
        <w:jc w:val="both"/>
        <w:rPr>
          <w:rFonts w:ascii="Calibri" w:hAnsi="Calibri" w:cs="Calibri"/>
          <w:sz w:val="22"/>
          <w:szCs w:val="22"/>
        </w:rPr>
      </w:pPr>
      <w:r w:rsidRPr="00493D1E">
        <w:rPr>
          <w:rFonts w:ascii="Calibri" w:hAnsi="Calibri" w:cs="Calibri"/>
          <w:sz w:val="22"/>
          <w:szCs w:val="22"/>
        </w:rPr>
        <w:t>Policy CP16 (1a) of the Core Strategy states</w:t>
      </w:r>
      <w:r w:rsidR="00A75182" w:rsidRPr="00493D1E">
        <w:rPr>
          <w:rFonts w:ascii="Calibri" w:hAnsi="Calibri" w:cs="Calibri"/>
          <w:sz w:val="22"/>
          <w:szCs w:val="22"/>
        </w:rPr>
        <w:t xml:space="preserve"> that: </w:t>
      </w:r>
      <w:r w:rsidRPr="00493D1E">
        <w:rPr>
          <w:rFonts w:ascii="Calibri" w:hAnsi="Calibri" w:cs="Calibri"/>
          <w:sz w:val="22"/>
          <w:szCs w:val="22"/>
        </w:rPr>
        <w:t xml:space="preserve"> </w:t>
      </w:r>
    </w:p>
    <w:p w14:paraId="5A228334" w14:textId="037B0C61" w:rsidR="00B374C1" w:rsidRPr="00493D1E" w:rsidRDefault="00B374C1" w:rsidP="00B374C1">
      <w:pPr>
        <w:jc w:val="both"/>
        <w:rPr>
          <w:rFonts w:ascii="Calibri" w:hAnsi="Calibri" w:cs="Calibri"/>
          <w:i/>
          <w:iCs/>
          <w:sz w:val="22"/>
          <w:szCs w:val="22"/>
        </w:rPr>
      </w:pPr>
      <w:r w:rsidRPr="00493D1E">
        <w:rPr>
          <w:rFonts w:ascii="Calibri" w:hAnsi="Calibri" w:cs="Calibri"/>
          <w:i/>
          <w:iCs/>
          <w:sz w:val="22"/>
          <w:szCs w:val="22"/>
        </w:rPr>
        <w:t>‘Planning permission will be granted for development that is designed to a high standard, which helps to create places where people want to live, work and relax. All development should demonstrate that its design:</w:t>
      </w:r>
    </w:p>
    <w:p w14:paraId="79103BD7" w14:textId="54F4535D" w:rsidR="00B374C1" w:rsidRPr="00493D1E" w:rsidRDefault="00B374C1"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Identifies and responds positively to existing features of natural, historic or local character within or close to the proposed development site’.</w:t>
      </w:r>
    </w:p>
    <w:p w14:paraId="16F6C0AB"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Integrates with existing local landscape features, promotes wildlife and biodiversity and/or applies characteristics of the local area into the design of a scheme wherever possible to create variety and interest; </w:t>
      </w:r>
    </w:p>
    <w:p w14:paraId="49E1B0FD"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Uses the characteristics of the locality to help inform the design of the new development including heights, massing, existing buildings lines, plot widths and depths, materials and proportions of windows and doors; </w:t>
      </w:r>
    </w:p>
    <w:p w14:paraId="6BB501BA"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Is well connected to and integrates with the immediate local area and the wider area by linking to existing pedestrian and cycle routes and encouraging people to use public transport where possible; and </w:t>
      </w:r>
    </w:p>
    <w:p w14:paraId="18E20928" w14:textId="3B06C9B6"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The development does not cause unacceptable harm to the amenity of neighbours through smell, the loss of privacy, outlook, noise and overlooking.</w:t>
      </w:r>
    </w:p>
    <w:p w14:paraId="7A6F54BD" w14:textId="404A7A77" w:rsidR="00A75182" w:rsidRPr="00493D1E" w:rsidRDefault="00A75182" w:rsidP="00B374C1">
      <w:pPr>
        <w:jc w:val="both"/>
        <w:rPr>
          <w:rFonts w:ascii="Calibri" w:hAnsi="Calibri" w:cs="Calibri"/>
          <w:b/>
          <w:bCs/>
          <w:sz w:val="22"/>
          <w:szCs w:val="22"/>
        </w:rPr>
      </w:pPr>
      <w:r w:rsidRPr="00493D1E">
        <w:rPr>
          <w:rFonts w:ascii="Calibri" w:hAnsi="Calibri" w:cs="Calibri"/>
          <w:b/>
          <w:bCs/>
          <w:sz w:val="22"/>
          <w:szCs w:val="22"/>
        </w:rPr>
        <w:t xml:space="preserve">Policy DM20 (Allocations Plan) - Historic Assets </w:t>
      </w:r>
    </w:p>
    <w:p w14:paraId="48DC8A75" w14:textId="77777777" w:rsidR="00A75182" w:rsidRPr="00493D1E" w:rsidRDefault="00B374C1" w:rsidP="00B374C1">
      <w:pPr>
        <w:jc w:val="both"/>
        <w:rPr>
          <w:rFonts w:ascii="Calibri" w:hAnsi="Calibri" w:cs="Calibri"/>
          <w:sz w:val="22"/>
          <w:szCs w:val="22"/>
        </w:rPr>
      </w:pPr>
      <w:r w:rsidRPr="00493D1E">
        <w:rPr>
          <w:rFonts w:ascii="Calibri" w:hAnsi="Calibri" w:cs="Calibri"/>
          <w:sz w:val="22"/>
          <w:szCs w:val="22"/>
        </w:rPr>
        <w:t>Policy DM20 states that</w:t>
      </w:r>
      <w:r w:rsidR="00A75182" w:rsidRPr="00493D1E">
        <w:rPr>
          <w:rFonts w:ascii="Calibri" w:hAnsi="Calibri" w:cs="Calibri"/>
          <w:sz w:val="22"/>
          <w:szCs w:val="22"/>
        </w:rPr>
        <w:t xml:space="preserve">; </w:t>
      </w:r>
      <w:r w:rsidRPr="00493D1E">
        <w:rPr>
          <w:rFonts w:ascii="Calibri" w:hAnsi="Calibri" w:cs="Calibri"/>
          <w:sz w:val="22"/>
          <w:szCs w:val="22"/>
        </w:rPr>
        <w:t xml:space="preserve"> </w:t>
      </w:r>
    </w:p>
    <w:p w14:paraId="7ED49672" w14:textId="0B1200E1" w:rsidR="00B374C1" w:rsidRPr="00493D1E" w:rsidRDefault="00A75182" w:rsidP="00B374C1">
      <w:pPr>
        <w:jc w:val="both"/>
        <w:rPr>
          <w:rFonts w:ascii="Calibri" w:hAnsi="Calibri" w:cs="Calibri"/>
          <w:i/>
          <w:iCs/>
          <w:sz w:val="22"/>
          <w:szCs w:val="22"/>
        </w:rPr>
      </w:pPr>
      <w:r w:rsidRPr="00493D1E">
        <w:rPr>
          <w:rFonts w:ascii="Calibri" w:hAnsi="Calibri" w:cs="Calibri"/>
          <w:i/>
          <w:iCs/>
          <w:sz w:val="22"/>
          <w:szCs w:val="22"/>
        </w:rPr>
        <w:lastRenderedPageBreak/>
        <w:t>‘Planning</w:t>
      </w:r>
      <w:r w:rsidR="00B374C1" w:rsidRPr="00493D1E">
        <w:rPr>
          <w:rFonts w:ascii="Calibri" w:hAnsi="Calibri" w:cs="Calibri"/>
          <w:i/>
          <w:iCs/>
          <w:sz w:val="22"/>
          <w:szCs w:val="22"/>
        </w:rPr>
        <w:t xml:space="preserve"> permission will be granted for development proposals that conserves and enhances the historic assets of Havant. It also states that application which affect, or have the potential to affect, heritage assets are expected to provide a Heritage Statement that: </w:t>
      </w:r>
    </w:p>
    <w:p w14:paraId="03A46E2D" w14:textId="384B6FFB"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1. Describe the significance of the asset and its setting, using appropriate expertise</w:t>
      </w:r>
      <w:r w:rsidR="00D627B4">
        <w:rPr>
          <w:rFonts w:ascii="Calibri" w:hAnsi="Calibri" w:cs="Calibri"/>
          <w:bCs/>
          <w:i/>
          <w:iCs/>
          <w:sz w:val="22"/>
          <w:szCs w:val="22"/>
        </w:rPr>
        <w:t xml:space="preserve"> </w:t>
      </w:r>
      <w:r w:rsidRPr="00493D1E">
        <w:rPr>
          <w:rFonts w:ascii="Calibri" w:hAnsi="Calibri" w:cs="Calibri"/>
          <w:bCs/>
          <w:i/>
          <w:iCs/>
          <w:sz w:val="22"/>
          <w:szCs w:val="22"/>
        </w:rPr>
        <w:t>and where necessary original survey, at a level of detail proportionate to its</w:t>
      </w:r>
      <w:r w:rsidR="00D627B4">
        <w:rPr>
          <w:rFonts w:ascii="Calibri" w:hAnsi="Calibri" w:cs="Calibri"/>
          <w:bCs/>
          <w:i/>
          <w:iCs/>
          <w:sz w:val="22"/>
          <w:szCs w:val="22"/>
        </w:rPr>
        <w:t xml:space="preserve"> </w:t>
      </w:r>
      <w:r w:rsidRPr="00493D1E">
        <w:rPr>
          <w:rFonts w:ascii="Calibri" w:hAnsi="Calibri" w:cs="Calibri"/>
          <w:bCs/>
          <w:i/>
          <w:iCs/>
          <w:sz w:val="22"/>
          <w:szCs w:val="22"/>
        </w:rPr>
        <w:t>significance and sufficient to understand the potential impact of the proposal.</w:t>
      </w:r>
    </w:p>
    <w:p w14:paraId="56236F77"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p>
    <w:p w14:paraId="3A7BB90C" w14:textId="3776E2D8" w:rsidR="00D627B4" w:rsidRDefault="00B374C1" w:rsidP="00D627B4">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2. Sets out the impact of the development on the heritage assets and mitigation that is</w:t>
      </w:r>
      <w:r w:rsidR="00D627B4">
        <w:rPr>
          <w:rFonts w:ascii="Calibri" w:hAnsi="Calibri" w:cs="Calibri"/>
          <w:bCs/>
          <w:i/>
          <w:iCs/>
          <w:sz w:val="22"/>
          <w:szCs w:val="22"/>
        </w:rPr>
        <w:t xml:space="preserve"> </w:t>
      </w:r>
      <w:r w:rsidRPr="00493D1E">
        <w:rPr>
          <w:rFonts w:ascii="Calibri" w:hAnsi="Calibri" w:cs="Calibri"/>
          <w:bCs/>
          <w:i/>
          <w:iCs/>
          <w:sz w:val="22"/>
          <w:szCs w:val="22"/>
        </w:rPr>
        <w:t>proportionate to the impact and the significance of the heritage asset, including</w:t>
      </w:r>
      <w:r w:rsidR="00D627B4">
        <w:rPr>
          <w:rFonts w:ascii="Calibri" w:hAnsi="Calibri" w:cs="Calibri"/>
          <w:bCs/>
          <w:i/>
          <w:iCs/>
          <w:sz w:val="22"/>
          <w:szCs w:val="22"/>
        </w:rPr>
        <w:t xml:space="preserve"> </w:t>
      </w:r>
      <w:r w:rsidRPr="00493D1E">
        <w:rPr>
          <w:rFonts w:ascii="Calibri" w:hAnsi="Calibri" w:cs="Calibri"/>
          <w:bCs/>
          <w:i/>
          <w:iCs/>
          <w:sz w:val="22"/>
          <w:szCs w:val="22"/>
        </w:rPr>
        <w:t>where possible positive opportunities to conserve and enjoy heritage assets.</w:t>
      </w:r>
    </w:p>
    <w:p w14:paraId="1C167FC4" w14:textId="77777777" w:rsidR="00D627B4" w:rsidRDefault="00D627B4" w:rsidP="00D627B4">
      <w:pPr>
        <w:autoSpaceDE w:val="0"/>
        <w:autoSpaceDN w:val="0"/>
        <w:adjustRightInd w:val="0"/>
        <w:spacing w:after="0" w:line="240" w:lineRule="auto"/>
        <w:jc w:val="both"/>
        <w:rPr>
          <w:rFonts w:ascii="Calibri" w:hAnsi="Calibri" w:cs="Calibri"/>
          <w:bCs/>
          <w:i/>
          <w:iCs/>
          <w:sz w:val="22"/>
          <w:szCs w:val="22"/>
        </w:rPr>
      </w:pPr>
    </w:p>
    <w:p w14:paraId="519590EF" w14:textId="769A2223" w:rsidR="00B12D34" w:rsidRDefault="00B12D34" w:rsidP="00B12D34">
      <w:pPr>
        <w:jc w:val="both"/>
        <w:rPr>
          <w:rFonts w:ascii="Calibri" w:hAnsi="Calibri" w:cs="Calibri"/>
          <w:b/>
          <w:bCs/>
          <w:sz w:val="22"/>
          <w:szCs w:val="22"/>
        </w:rPr>
      </w:pPr>
      <w:r w:rsidRPr="00493D1E">
        <w:rPr>
          <w:rFonts w:ascii="Calibri" w:hAnsi="Calibri" w:cs="Calibri"/>
          <w:b/>
          <w:bCs/>
          <w:sz w:val="22"/>
          <w:szCs w:val="22"/>
          <w:highlight w:val="lightGray"/>
        </w:rPr>
        <w:t xml:space="preserve">Assessment </w:t>
      </w:r>
    </w:p>
    <w:p w14:paraId="135A68B7" w14:textId="2AA0903E" w:rsidR="008F0842" w:rsidRPr="008F0842" w:rsidRDefault="008F0842" w:rsidP="008F0842">
      <w:pPr>
        <w:jc w:val="both"/>
        <w:rPr>
          <w:rFonts w:ascii="Calibri" w:hAnsi="Calibri" w:cs="Calibri"/>
          <w:sz w:val="22"/>
          <w:szCs w:val="22"/>
          <w:u w:val="single"/>
        </w:rPr>
      </w:pPr>
      <w:r w:rsidRPr="008F0842">
        <w:rPr>
          <w:rFonts w:ascii="Calibri" w:hAnsi="Calibri" w:cs="Calibri"/>
          <w:sz w:val="22"/>
          <w:szCs w:val="22"/>
          <w:u w:val="single"/>
        </w:rPr>
        <w:t>Scope of the Listed Building Consent</w:t>
      </w:r>
      <w:r w:rsidR="00DF2FB3">
        <w:rPr>
          <w:rFonts w:ascii="Calibri" w:hAnsi="Calibri" w:cs="Calibri"/>
          <w:sz w:val="22"/>
          <w:szCs w:val="22"/>
          <w:u w:val="single"/>
        </w:rPr>
        <w:t xml:space="preserve"> (LBC)</w:t>
      </w:r>
    </w:p>
    <w:p w14:paraId="2399DE65" w14:textId="4FAE8A2E" w:rsidR="0064516A" w:rsidRPr="0064516A" w:rsidRDefault="0064516A" w:rsidP="0064516A">
      <w:pPr>
        <w:jc w:val="both"/>
        <w:rPr>
          <w:rFonts w:ascii="Calibri" w:hAnsi="Calibri" w:cs="Calibri"/>
          <w:sz w:val="22"/>
          <w:szCs w:val="22"/>
        </w:rPr>
      </w:pPr>
      <w:r w:rsidRPr="0064516A">
        <w:rPr>
          <w:rFonts w:ascii="Calibri" w:hAnsi="Calibri" w:cs="Calibri"/>
          <w:sz w:val="22"/>
          <w:szCs w:val="22"/>
        </w:rPr>
        <w:t xml:space="preserve">This </w:t>
      </w:r>
      <w:r w:rsidR="00DF2FB3">
        <w:rPr>
          <w:rFonts w:ascii="Calibri" w:hAnsi="Calibri" w:cs="Calibri"/>
          <w:sz w:val="22"/>
          <w:szCs w:val="22"/>
        </w:rPr>
        <w:t xml:space="preserve">LBC </w:t>
      </w:r>
      <w:r w:rsidRPr="0064516A">
        <w:rPr>
          <w:rFonts w:ascii="Calibri" w:hAnsi="Calibri" w:cs="Calibri"/>
          <w:sz w:val="22"/>
          <w:szCs w:val="22"/>
        </w:rPr>
        <w:t xml:space="preserve">application relates specifically to works affecting the curtilage of Nos. 16, 17 and 18 Langstone High Street, all Grade II listed buildings. The works comprise the temporary lifting and reinstatement of the existing </w:t>
      </w:r>
      <w:r w:rsidR="00987943">
        <w:rPr>
          <w:rFonts w:ascii="Calibri" w:hAnsi="Calibri" w:cs="Calibri"/>
          <w:sz w:val="22"/>
          <w:szCs w:val="22"/>
        </w:rPr>
        <w:t>stone-flag</w:t>
      </w:r>
      <w:r w:rsidRPr="0064516A">
        <w:rPr>
          <w:rFonts w:ascii="Calibri" w:hAnsi="Calibri" w:cs="Calibri"/>
          <w:sz w:val="22"/>
          <w:szCs w:val="22"/>
        </w:rPr>
        <w:t xml:space="preserve"> coastal footpath, and the attachment of a new flood defence wall</w:t>
      </w:r>
      <w:r w:rsidR="000D1230" w:rsidRPr="000D1230">
        <w:rPr>
          <w:rFonts w:ascii="Calibri" w:hAnsi="Calibri" w:cs="Calibri"/>
          <w:sz w:val="22"/>
          <w:szCs w:val="22"/>
        </w:rPr>
        <w:t>, with glass flood barrier</w:t>
      </w:r>
      <w:r w:rsidRPr="0064516A">
        <w:rPr>
          <w:rFonts w:ascii="Calibri" w:hAnsi="Calibri" w:cs="Calibri"/>
          <w:sz w:val="22"/>
          <w:szCs w:val="22"/>
        </w:rPr>
        <w:t xml:space="preserve"> to the outer edge of th</w:t>
      </w:r>
      <w:r w:rsidR="00C17DB3">
        <w:rPr>
          <w:rFonts w:ascii="Calibri" w:hAnsi="Calibri" w:cs="Calibri"/>
          <w:sz w:val="22"/>
          <w:szCs w:val="22"/>
        </w:rPr>
        <w:t>e foot</w:t>
      </w:r>
      <w:r w:rsidRPr="0064516A">
        <w:rPr>
          <w:rFonts w:ascii="Calibri" w:hAnsi="Calibri" w:cs="Calibri"/>
          <w:sz w:val="22"/>
          <w:szCs w:val="22"/>
        </w:rPr>
        <w:t>path.</w:t>
      </w:r>
    </w:p>
    <w:p w14:paraId="60F59CC2" w14:textId="41FA4ADD" w:rsidR="0064516A" w:rsidRDefault="0064516A" w:rsidP="0064516A">
      <w:pPr>
        <w:jc w:val="both"/>
        <w:rPr>
          <w:rFonts w:ascii="Calibri" w:hAnsi="Calibri" w:cs="Calibri"/>
          <w:sz w:val="22"/>
          <w:szCs w:val="22"/>
        </w:rPr>
      </w:pPr>
      <w:r w:rsidRPr="0064516A">
        <w:rPr>
          <w:rFonts w:ascii="Calibri" w:hAnsi="Calibri" w:cs="Calibri"/>
          <w:sz w:val="22"/>
          <w:szCs w:val="22"/>
        </w:rPr>
        <w:t xml:space="preserve">The application does not propose alterations to the listed buildings themselves and does not seek consent for wider changes to their setting arising from the flood defence wall and glass barrier, which </w:t>
      </w:r>
      <w:r w:rsidR="00ED26F2">
        <w:rPr>
          <w:rFonts w:ascii="Calibri" w:hAnsi="Calibri" w:cs="Calibri"/>
          <w:sz w:val="22"/>
          <w:szCs w:val="22"/>
        </w:rPr>
        <w:t>is</w:t>
      </w:r>
      <w:r w:rsidRPr="0064516A">
        <w:rPr>
          <w:rFonts w:ascii="Calibri" w:hAnsi="Calibri" w:cs="Calibri"/>
          <w:sz w:val="22"/>
          <w:szCs w:val="22"/>
        </w:rPr>
        <w:t xml:space="preserve"> considered separately under the associated planning application</w:t>
      </w:r>
      <w:r w:rsidR="000D1230" w:rsidRPr="000D1230">
        <w:rPr>
          <w:rFonts w:ascii="Calibri" w:hAnsi="Calibri" w:cs="Calibri"/>
          <w:sz w:val="22"/>
          <w:szCs w:val="22"/>
        </w:rPr>
        <w:t xml:space="preserve"> (APP/25/00162)</w:t>
      </w:r>
      <w:r w:rsidRPr="0064516A">
        <w:rPr>
          <w:rFonts w:ascii="Calibri" w:hAnsi="Calibri" w:cs="Calibri"/>
          <w:sz w:val="22"/>
          <w:szCs w:val="22"/>
        </w:rPr>
        <w:t>.</w:t>
      </w:r>
    </w:p>
    <w:p w14:paraId="129B317C" w14:textId="73106A97" w:rsidR="008F0842" w:rsidRPr="0064516A" w:rsidRDefault="00A05251" w:rsidP="0064516A">
      <w:pPr>
        <w:jc w:val="both"/>
        <w:rPr>
          <w:rFonts w:ascii="Calibri" w:hAnsi="Calibri" w:cs="Calibri"/>
          <w:sz w:val="22"/>
          <w:szCs w:val="22"/>
          <w:u w:val="single"/>
        </w:rPr>
      </w:pPr>
      <w:r w:rsidRPr="00A05251">
        <w:rPr>
          <w:rFonts w:ascii="Calibri" w:hAnsi="Calibri" w:cs="Calibri"/>
          <w:sz w:val="22"/>
          <w:szCs w:val="22"/>
          <w:u w:val="single"/>
        </w:rPr>
        <w:t>Significance of the Listed Buildings (and Curtilage)</w:t>
      </w:r>
    </w:p>
    <w:p w14:paraId="7D6CB54E" w14:textId="3D23E874" w:rsidR="006E224F" w:rsidRDefault="006E224F" w:rsidP="006E224F">
      <w:pPr>
        <w:jc w:val="both"/>
        <w:rPr>
          <w:rFonts w:ascii="Calibri" w:hAnsi="Calibri" w:cs="Calibri"/>
          <w:sz w:val="22"/>
          <w:szCs w:val="22"/>
        </w:rPr>
      </w:pPr>
      <w:r w:rsidRPr="006E224F">
        <w:rPr>
          <w:rFonts w:ascii="Calibri" w:hAnsi="Calibri" w:cs="Calibri"/>
          <w:sz w:val="22"/>
          <w:szCs w:val="22"/>
        </w:rPr>
        <w:t>Nos. 16, 17 and 18 Langstone High Street are Grade II listed terrace properties whose significance derives from their historic fabric, architectural interest, and relationship with the historic harbour frontage. The buildings directly front onto the coastal footpath, which forms part of their historic curtilage and contributes to their significance</w:t>
      </w:r>
      <w:r w:rsidR="00976397">
        <w:rPr>
          <w:rFonts w:ascii="Calibri" w:hAnsi="Calibri" w:cs="Calibri"/>
          <w:sz w:val="22"/>
          <w:szCs w:val="22"/>
        </w:rPr>
        <w:t>,</w:t>
      </w:r>
      <w:r w:rsidRPr="006E224F">
        <w:rPr>
          <w:rFonts w:ascii="Calibri" w:hAnsi="Calibri" w:cs="Calibri"/>
          <w:sz w:val="22"/>
          <w:szCs w:val="22"/>
        </w:rPr>
        <w:t xml:space="preserve"> by reflecting the long</w:t>
      </w:r>
      <w:r w:rsidRPr="006E224F">
        <w:rPr>
          <w:rFonts w:ascii="Calibri" w:hAnsi="Calibri" w:cs="Calibri"/>
          <w:sz w:val="22"/>
          <w:szCs w:val="22"/>
        </w:rPr>
        <w:noBreakHyphen/>
        <w:t xml:space="preserve">standing relationship between the dwellings and the </w:t>
      </w:r>
      <w:r w:rsidR="00976397">
        <w:rPr>
          <w:rFonts w:ascii="Calibri" w:hAnsi="Calibri" w:cs="Calibri"/>
          <w:sz w:val="22"/>
          <w:szCs w:val="22"/>
        </w:rPr>
        <w:t xml:space="preserve">coastal footpath. </w:t>
      </w:r>
    </w:p>
    <w:p w14:paraId="585B4246" w14:textId="07CAD5A4" w:rsidR="009B18A6" w:rsidRPr="009B18A6" w:rsidRDefault="009B18A6" w:rsidP="009B18A6">
      <w:pPr>
        <w:jc w:val="both"/>
        <w:rPr>
          <w:rFonts w:ascii="Calibri" w:hAnsi="Calibri" w:cs="Calibri"/>
          <w:sz w:val="22"/>
          <w:szCs w:val="22"/>
        </w:rPr>
      </w:pPr>
      <w:r w:rsidRPr="009B18A6">
        <w:rPr>
          <w:rFonts w:ascii="Calibri" w:hAnsi="Calibri" w:cs="Calibri"/>
          <w:sz w:val="22"/>
          <w:szCs w:val="22"/>
        </w:rPr>
        <w:t xml:space="preserve">The </w:t>
      </w:r>
      <w:r w:rsidR="00F61B97">
        <w:rPr>
          <w:rFonts w:ascii="Calibri" w:hAnsi="Calibri" w:cs="Calibri"/>
          <w:sz w:val="22"/>
          <w:szCs w:val="22"/>
        </w:rPr>
        <w:t>stone-flag</w:t>
      </w:r>
      <w:r w:rsidRPr="009B18A6">
        <w:rPr>
          <w:rFonts w:ascii="Calibri" w:hAnsi="Calibri" w:cs="Calibri"/>
          <w:sz w:val="22"/>
          <w:szCs w:val="22"/>
        </w:rPr>
        <w:t xml:space="preserve"> paving along this frontage helps illustrate the historic relationship between the listed buildings and the harbour edge and therefore contributes to their overall significance.</w:t>
      </w:r>
    </w:p>
    <w:p w14:paraId="4F1737E5" w14:textId="77777777" w:rsidR="000A3ED3" w:rsidRPr="000A3ED3" w:rsidRDefault="000A3ED3" w:rsidP="000A3ED3">
      <w:pPr>
        <w:jc w:val="both"/>
        <w:rPr>
          <w:rFonts w:ascii="Calibri" w:hAnsi="Calibri" w:cs="Calibri"/>
          <w:sz w:val="22"/>
          <w:szCs w:val="22"/>
          <w:u w:val="single"/>
        </w:rPr>
      </w:pPr>
      <w:r w:rsidRPr="000A3ED3">
        <w:rPr>
          <w:rFonts w:ascii="Calibri" w:hAnsi="Calibri" w:cs="Calibri"/>
          <w:sz w:val="22"/>
          <w:szCs w:val="22"/>
          <w:u w:val="single"/>
        </w:rPr>
        <w:t>Description of the Proposed Works</w:t>
      </w:r>
    </w:p>
    <w:p w14:paraId="48C81B04" w14:textId="77777777" w:rsidR="000A3ED3" w:rsidRPr="000A3ED3" w:rsidRDefault="000A3ED3" w:rsidP="000A3ED3">
      <w:pPr>
        <w:jc w:val="both"/>
        <w:rPr>
          <w:rFonts w:ascii="Calibri" w:hAnsi="Calibri" w:cs="Calibri"/>
          <w:sz w:val="22"/>
          <w:szCs w:val="22"/>
        </w:rPr>
      </w:pPr>
      <w:r w:rsidRPr="000A3ED3">
        <w:rPr>
          <w:rFonts w:ascii="Calibri" w:hAnsi="Calibri" w:cs="Calibri"/>
          <w:sz w:val="22"/>
          <w:szCs w:val="22"/>
        </w:rPr>
        <w:t>The proposals involve the construction of a new reinforced footpath seaward of the existing footpath, together with a new stone</w:t>
      </w:r>
      <w:r w:rsidRPr="000A3ED3">
        <w:rPr>
          <w:rFonts w:ascii="Calibri" w:hAnsi="Calibri" w:cs="Calibri"/>
          <w:sz w:val="22"/>
          <w:szCs w:val="22"/>
        </w:rPr>
        <w:noBreakHyphen/>
        <w:t>clad flood defence wall with a flood</w:t>
      </w:r>
      <w:r w:rsidRPr="000A3ED3">
        <w:rPr>
          <w:rFonts w:ascii="Calibri" w:hAnsi="Calibri" w:cs="Calibri"/>
          <w:sz w:val="22"/>
          <w:szCs w:val="22"/>
        </w:rPr>
        <w:noBreakHyphen/>
        <w:t xml:space="preserve">glass barrier above. </w:t>
      </w:r>
      <w:proofErr w:type="gramStart"/>
      <w:r w:rsidRPr="000A3ED3">
        <w:rPr>
          <w:rFonts w:ascii="Calibri" w:hAnsi="Calibri" w:cs="Calibri"/>
          <w:sz w:val="22"/>
          <w:szCs w:val="22"/>
        </w:rPr>
        <w:t>In order to</w:t>
      </w:r>
      <w:proofErr w:type="gramEnd"/>
      <w:r w:rsidRPr="000A3ED3">
        <w:rPr>
          <w:rFonts w:ascii="Calibri" w:hAnsi="Calibri" w:cs="Calibri"/>
          <w:sz w:val="22"/>
          <w:szCs w:val="22"/>
        </w:rPr>
        <w:t xml:space="preserve"> facilitate these works, the existing stone</w:t>
      </w:r>
      <w:r w:rsidRPr="000A3ED3">
        <w:rPr>
          <w:rFonts w:ascii="Calibri" w:hAnsi="Calibri" w:cs="Calibri"/>
          <w:sz w:val="22"/>
          <w:szCs w:val="22"/>
        </w:rPr>
        <w:noBreakHyphen/>
        <w:t>flag footpath directly in front of Nos. 16–18 Langstone High Street would be temporarily lifted, retained, and reinstated in its original position following completion of the wall construction.</w:t>
      </w:r>
    </w:p>
    <w:p w14:paraId="3FC14597" w14:textId="77777777" w:rsidR="000A3ED3" w:rsidRPr="000A3ED3" w:rsidRDefault="000A3ED3" w:rsidP="000A3ED3">
      <w:pPr>
        <w:jc w:val="both"/>
        <w:rPr>
          <w:rFonts w:ascii="Calibri" w:hAnsi="Calibri" w:cs="Calibri"/>
          <w:sz w:val="22"/>
          <w:szCs w:val="22"/>
        </w:rPr>
      </w:pPr>
      <w:r w:rsidRPr="000A3ED3">
        <w:rPr>
          <w:rFonts w:ascii="Calibri" w:hAnsi="Calibri" w:cs="Calibri"/>
          <w:sz w:val="22"/>
          <w:szCs w:val="22"/>
        </w:rPr>
        <w:t>The new flood defence wall would be attached to the outer edge of the footpath, with no direct physical works proposed to the façades or structural fabric of the listed buildings themselves.</w:t>
      </w:r>
    </w:p>
    <w:p w14:paraId="1380F92B" w14:textId="77777777" w:rsidR="00F53E75" w:rsidRPr="00F53E75" w:rsidRDefault="00F53E75" w:rsidP="00F53E75">
      <w:pPr>
        <w:jc w:val="both"/>
        <w:rPr>
          <w:rFonts w:ascii="Calibri" w:hAnsi="Calibri" w:cs="Calibri"/>
          <w:sz w:val="22"/>
          <w:szCs w:val="22"/>
          <w:u w:val="single"/>
        </w:rPr>
      </w:pPr>
      <w:r w:rsidRPr="00F53E75">
        <w:rPr>
          <w:rFonts w:ascii="Calibri" w:hAnsi="Calibri" w:cs="Calibri"/>
          <w:sz w:val="22"/>
          <w:szCs w:val="22"/>
          <w:u w:val="single"/>
        </w:rPr>
        <w:t>Assessment of Impact on the Listed Buildings</w:t>
      </w:r>
    </w:p>
    <w:p w14:paraId="55E3ACAE" w14:textId="29130C58" w:rsidR="00F53E75" w:rsidRPr="00F53E75" w:rsidRDefault="00F53E75" w:rsidP="00F53E75">
      <w:pPr>
        <w:jc w:val="both"/>
        <w:rPr>
          <w:rFonts w:ascii="Calibri" w:hAnsi="Calibri" w:cs="Calibri"/>
          <w:sz w:val="22"/>
          <w:szCs w:val="22"/>
        </w:rPr>
      </w:pPr>
      <w:r w:rsidRPr="00F53E75">
        <w:rPr>
          <w:rFonts w:ascii="Calibri" w:hAnsi="Calibri" w:cs="Calibri"/>
          <w:sz w:val="22"/>
          <w:szCs w:val="22"/>
        </w:rPr>
        <w:lastRenderedPageBreak/>
        <w:t>The principal consideration for this</w:t>
      </w:r>
      <w:r w:rsidR="00F507DF">
        <w:rPr>
          <w:rFonts w:ascii="Calibri" w:hAnsi="Calibri" w:cs="Calibri"/>
          <w:sz w:val="22"/>
          <w:szCs w:val="22"/>
        </w:rPr>
        <w:t xml:space="preserve"> application </w:t>
      </w:r>
      <w:r w:rsidRPr="00F53E75">
        <w:rPr>
          <w:rFonts w:ascii="Calibri" w:hAnsi="Calibri" w:cs="Calibri"/>
          <w:sz w:val="22"/>
          <w:szCs w:val="22"/>
        </w:rPr>
        <w:t>is whether the temporary lifting and reinstatement of the existing footpath, together with the attachment of the new wall to its outer edge, would affect the fabric or significance of the listed buildings.</w:t>
      </w:r>
    </w:p>
    <w:p w14:paraId="1A646E2F" w14:textId="77777777" w:rsidR="00F53E75" w:rsidRPr="00F53E75" w:rsidRDefault="00F53E75" w:rsidP="00F53E75">
      <w:pPr>
        <w:jc w:val="both"/>
        <w:rPr>
          <w:rFonts w:ascii="Calibri" w:hAnsi="Calibri" w:cs="Calibri"/>
          <w:sz w:val="22"/>
          <w:szCs w:val="22"/>
        </w:rPr>
      </w:pPr>
      <w:r w:rsidRPr="00F53E75">
        <w:rPr>
          <w:rFonts w:ascii="Calibri" w:hAnsi="Calibri" w:cs="Calibri"/>
          <w:sz w:val="22"/>
          <w:szCs w:val="22"/>
        </w:rPr>
        <w:t>The footpath would be:</w:t>
      </w:r>
    </w:p>
    <w:p w14:paraId="19E3D080" w14:textId="1C74A1D3" w:rsidR="00F53E75" w:rsidRPr="00F53E75" w:rsidRDefault="00F53E75" w:rsidP="00F53E75">
      <w:pPr>
        <w:numPr>
          <w:ilvl w:val="0"/>
          <w:numId w:val="27"/>
        </w:numPr>
        <w:jc w:val="both"/>
        <w:rPr>
          <w:rFonts w:ascii="Calibri" w:hAnsi="Calibri" w:cs="Calibri"/>
          <w:sz w:val="22"/>
          <w:szCs w:val="22"/>
        </w:rPr>
      </w:pPr>
      <w:r w:rsidRPr="00F53E75">
        <w:rPr>
          <w:rFonts w:ascii="Calibri" w:hAnsi="Calibri" w:cs="Calibri"/>
          <w:sz w:val="22"/>
          <w:szCs w:val="22"/>
        </w:rPr>
        <w:t>retained in situ</w:t>
      </w:r>
      <w:r w:rsidR="007971AE">
        <w:rPr>
          <w:rFonts w:ascii="Calibri" w:hAnsi="Calibri" w:cs="Calibri"/>
          <w:sz w:val="22"/>
          <w:szCs w:val="22"/>
        </w:rPr>
        <w:t xml:space="preserve"> as part of the development</w:t>
      </w:r>
      <w:r w:rsidRPr="00F53E75">
        <w:rPr>
          <w:rFonts w:ascii="Calibri" w:hAnsi="Calibri" w:cs="Calibri"/>
          <w:sz w:val="22"/>
          <w:szCs w:val="22"/>
        </w:rPr>
        <w:t>;</w:t>
      </w:r>
    </w:p>
    <w:p w14:paraId="53C286A8" w14:textId="77777777" w:rsidR="00F53E75" w:rsidRPr="00F53E75" w:rsidRDefault="00F53E75" w:rsidP="00F53E75">
      <w:pPr>
        <w:numPr>
          <w:ilvl w:val="0"/>
          <w:numId w:val="27"/>
        </w:numPr>
        <w:jc w:val="both"/>
        <w:rPr>
          <w:rFonts w:ascii="Calibri" w:hAnsi="Calibri" w:cs="Calibri"/>
          <w:sz w:val="22"/>
          <w:szCs w:val="22"/>
        </w:rPr>
      </w:pPr>
      <w:r w:rsidRPr="00F53E75">
        <w:rPr>
          <w:rFonts w:ascii="Calibri" w:hAnsi="Calibri" w:cs="Calibri"/>
          <w:sz w:val="22"/>
          <w:szCs w:val="22"/>
        </w:rPr>
        <w:t>reinstated following construction;</w:t>
      </w:r>
    </w:p>
    <w:p w14:paraId="68B4B1CC" w14:textId="77777777" w:rsidR="00F53E75" w:rsidRPr="00F53E75" w:rsidRDefault="00F53E75" w:rsidP="00F53E75">
      <w:pPr>
        <w:numPr>
          <w:ilvl w:val="0"/>
          <w:numId w:val="27"/>
        </w:numPr>
        <w:jc w:val="both"/>
        <w:rPr>
          <w:rFonts w:ascii="Calibri" w:hAnsi="Calibri" w:cs="Calibri"/>
          <w:sz w:val="22"/>
          <w:szCs w:val="22"/>
        </w:rPr>
      </w:pPr>
      <w:r w:rsidRPr="00F53E75">
        <w:rPr>
          <w:rFonts w:ascii="Calibri" w:hAnsi="Calibri" w:cs="Calibri"/>
          <w:sz w:val="22"/>
          <w:szCs w:val="22"/>
        </w:rPr>
        <w:t>returned to its existing alignment, width and level; and</w:t>
      </w:r>
    </w:p>
    <w:p w14:paraId="7715C5FC" w14:textId="04EFDAD4" w:rsidR="00F53E75" w:rsidRPr="00F53E75" w:rsidRDefault="00F53E75" w:rsidP="00F53E75">
      <w:pPr>
        <w:numPr>
          <w:ilvl w:val="0"/>
          <w:numId w:val="27"/>
        </w:numPr>
        <w:jc w:val="both"/>
        <w:rPr>
          <w:rFonts w:ascii="Calibri" w:hAnsi="Calibri" w:cs="Calibri"/>
          <w:sz w:val="22"/>
          <w:szCs w:val="22"/>
        </w:rPr>
      </w:pPr>
      <w:r w:rsidRPr="00F53E75">
        <w:rPr>
          <w:rFonts w:ascii="Calibri" w:hAnsi="Calibri" w:cs="Calibri"/>
          <w:sz w:val="22"/>
          <w:szCs w:val="22"/>
        </w:rPr>
        <w:t xml:space="preserve">constructed using the existing </w:t>
      </w:r>
      <w:r w:rsidR="00177BEF">
        <w:rPr>
          <w:rFonts w:ascii="Calibri" w:hAnsi="Calibri" w:cs="Calibri"/>
          <w:sz w:val="22"/>
          <w:szCs w:val="22"/>
        </w:rPr>
        <w:t>paving</w:t>
      </w:r>
      <w:r w:rsidRPr="00F53E75">
        <w:rPr>
          <w:rFonts w:ascii="Calibri" w:hAnsi="Calibri" w:cs="Calibri"/>
          <w:sz w:val="22"/>
          <w:szCs w:val="22"/>
        </w:rPr>
        <w:t>, subject to appropriate controlled handling and workmanship.</w:t>
      </w:r>
    </w:p>
    <w:p w14:paraId="19593D73" w14:textId="6014FB90" w:rsidR="00F53E75" w:rsidRPr="00F53E75" w:rsidRDefault="00F53E75" w:rsidP="00F53E75">
      <w:pPr>
        <w:jc w:val="both"/>
        <w:rPr>
          <w:rFonts w:ascii="Calibri" w:hAnsi="Calibri" w:cs="Calibri"/>
          <w:sz w:val="22"/>
          <w:szCs w:val="22"/>
        </w:rPr>
      </w:pPr>
      <w:r w:rsidRPr="00F53E75">
        <w:rPr>
          <w:rFonts w:ascii="Calibri" w:hAnsi="Calibri" w:cs="Calibri"/>
          <w:sz w:val="22"/>
          <w:szCs w:val="22"/>
        </w:rPr>
        <w:t>Provided that the</w:t>
      </w:r>
      <w:r w:rsidR="001E19CA">
        <w:rPr>
          <w:rFonts w:ascii="Calibri" w:hAnsi="Calibri" w:cs="Calibri"/>
          <w:sz w:val="22"/>
          <w:szCs w:val="22"/>
        </w:rPr>
        <w:t xml:space="preserve"> existing </w:t>
      </w:r>
      <w:r w:rsidR="00F61B97">
        <w:rPr>
          <w:rFonts w:ascii="Calibri" w:hAnsi="Calibri" w:cs="Calibri"/>
          <w:sz w:val="22"/>
          <w:szCs w:val="22"/>
        </w:rPr>
        <w:t xml:space="preserve">stone-flag </w:t>
      </w:r>
      <w:r w:rsidR="001E19CA">
        <w:rPr>
          <w:rFonts w:ascii="Calibri" w:hAnsi="Calibri" w:cs="Calibri"/>
          <w:sz w:val="22"/>
          <w:szCs w:val="22"/>
        </w:rPr>
        <w:t>paving is</w:t>
      </w:r>
      <w:r w:rsidRPr="00F53E75">
        <w:rPr>
          <w:rFonts w:ascii="Calibri" w:hAnsi="Calibri" w:cs="Calibri"/>
          <w:sz w:val="22"/>
          <w:szCs w:val="22"/>
        </w:rPr>
        <w:t xml:space="preserve"> carefully lifted, stored and reinstated without unnecessary replacement or cutting, the works would not result in permanent loss of historic fabric, nor would they alter the historic relationship between the listed buildings and the footpath.</w:t>
      </w:r>
    </w:p>
    <w:p w14:paraId="0F9723A5" w14:textId="77777777" w:rsidR="00F53E75" w:rsidRPr="00F53E75" w:rsidRDefault="00F53E75" w:rsidP="00F53E75">
      <w:pPr>
        <w:jc w:val="both"/>
        <w:rPr>
          <w:rFonts w:ascii="Calibri" w:hAnsi="Calibri" w:cs="Calibri"/>
          <w:sz w:val="22"/>
          <w:szCs w:val="22"/>
        </w:rPr>
      </w:pPr>
      <w:r w:rsidRPr="00F53E75">
        <w:rPr>
          <w:rFonts w:ascii="Calibri" w:hAnsi="Calibri" w:cs="Calibri"/>
          <w:sz w:val="22"/>
          <w:szCs w:val="22"/>
        </w:rPr>
        <w:t>The attachment of the flood defence wall to the outer edge of the footpath would not require intervention into the façades or foundations of the listed buildings, and the wall would remain structurally independent of the historic buildings themselves.</w:t>
      </w:r>
    </w:p>
    <w:p w14:paraId="49601CE4" w14:textId="77777777" w:rsidR="00820548" w:rsidRPr="00820548" w:rsidRDefault="00820548" w:rsidP="00820548">
      <w:pPr>
        <w:jc w:val="both"/>
        <w:rPr>
          <w:rFonts w:ascii="Calibri" w:hAnsi="Calibri" w:cs="Calibri"/>
          <w:sz w:val="22"/>
          <w:szCs w:val="22"/>
          <w:u w:val="single"/>
        </w:rPr>
      </w:pPr>
      <w:r w:rsidRPr="00820548">
        <w:rPr>
          <w:rFonts w:ascii="Calibri" w:hAnsi="Calibri" w:cs="Calibri"/>
          <w:sz w:val="22"/>
          <w:szCs w:val="22"/>
          <w:u w:val="single"/>
        </w:rPr>
        <w:t>Level of Harm</w:t>
      </w:r>
    </w:p>
    <w:p w14:paraId="5FBD6C25" w14:textId="6CC4AE63" w:rsidR="002D2C5D" w:rsidRPr="002D2C5D" w:rsidRDefault="002D2C5D" w:rsidP="002D2C5D">
      <w:pPr>
        <w:jc w:val="both"/>
        <w:rPr>
          <w:rFonts w:ascii="Calibri" w:hAnsi="Calibri" w:cs="Calibri"/>
          <w:sz w:val="22"/>
          <w:szCs w:val="22"/>
        </w:rPr>
      </w:pPr>
      <w:r w:rsidRPr="002D2C5D">
        <w:rPr>
          <w:rFonts w:ascii="Calibri" w:hAnsi="Calibri" w:cs="Calibri"/>
          <w:sz w:val="22"/>
          <w:szCs w:val="22"/>
        </w:rPr>
        <w:t>On this basis, it is considered that the proposals would give rise to a very low level of less than substantial harm to the significance of Nos. 16, 17 and 18 Langstone High Street</w:t>
      </w:r>
      <w:r w:rsidR="00D035B0">
        <w:rPr>
          <w:rFonts w:ascii="Calibri" w:hAnsi="Calibri" w:cs="Calibri"/>
          <w:sz w:val="22"/>
          <w:szCs w:val="22"/>
        </w:rPr>
        <w:t>, arising from changes to their harbour side curtilage</w:t>
      </w:r>
      <w:r w:rsidRPr="002D2C5D">
        <w:rPr>
          <w:rFonts w:ascii="Calibri" w:hAnsi="Calibri" w:cs="Calibri"/>
          <w:sz w:val="22"/>
          <w:szCs w:val="22"/>
        </w:rPr>
        <w:t xml:space="preserve">. While the existing </w:t>
      </w:r>
      <w:r w:rsidR="00F61B97">
        <w:rPr>
          <w:rFonts w:ascii="Calibri" w:hAnsi="Calibri" w:cs="Calibri"/>
          <w:sz w:val="22"/>
          <w:szCs w:val="22"/>
        </w:rPr>
        <w:t xml:space="preserve">stone-flag </w:t>
      </w:r>
      <w:r w:rsidRPr="002D2C5D">
        <w:rPr>
          <w:rFonts w:ascii="Calibri" w:hAnsi="Calibri" w:cs="Calibri"/>
          <w:sz w:val="22"/>
          <w:szCs w:val="22"/>
        </w:rPr>
        <w:t>paving would be retained and reinstated, the attachment of the new flood defence wall to the outer edge of the footpath would result in a subtle but permanent change to the character of the curtilage, altering the currently open and unenclosed relationship between the path and the water’s edge.</w:t>
      </w:r>
    </w:p>
    <w:p w14:paraId="00EAAC00" w14:textId="77777777" w:rsidR="002D2C5D" w:rsidRPr="002D2C5D" w:rsidRDefault="002D2C5D" w:rsidP="002D2C5D">
      <w:pPr>
        <w:jc w:val="both"/>
        <w:rPr>
          <w:rFonts w:ascii="Calibri" w:hAnsi="Calibri" w:cs="Calibri"/>
          <w:sz w:val="22"/>
          <w:szCs w:val="22"/>
        </w:rPr>
      </w:pPr>
      <w:r w:rsidRPr="002D2C5D">
        <w:rPr>
          <w:rFonts w:ascii="Calibri" w:hAnsi="Calibri" w:cs="Calibri"/>
          <w:sz w:val="22"/>
          <w:szCs w:val="22"/>
        </w:rPr>
        <w:t>This change would affect the look and feel of the historic footpath, which presently reads as an informal and open harbour</w:t>
      </w:r>
      <w:r w:rsidRPr="002D2C5D">
        <w:rPr>
          <w:rFonts w:ascii="Calibri" w:hAnsi="Calibri" w:cs="Calibri"/>
          <w:sz w:val="22"/>
          <w:szCs w:val="22"/>
        </w:rPr>
        <w:noBreakHyphen/>
        <w:t>side route; however, the works would not involve the loss of historic fabric, nor would they alter the alignment, width or level of the path itself. Any disturbance to the paving would be temporary and fully reversible, subject to careful lifting and reinstatement secured by condition.</w:t>
      </w:r>
    </w:p>
    <w:p w14:paraId="0F6B3115" w14:textId="35EC8022" w:rsidR="002A4F7A" w:rsidRPr="00270A21" w:rsidRDefault="002D2C5D" w:rsidP="00B12D34">
      <w:pPr>
        <w:jc w:val="both"/>
        <w:rPr>
          <w:rFonts w:ascii="Calibri" w:hAnsi="Calibri" w:cs="Calibri"/>
          <w:sz w:val="22"/>
          <w:szCs w:val="22"/>
        </w:rPr>
      </w:pPr>
      <w:r w:rsidRPr="002D2C5D">
        <w:rPr>
          <w:rFonts w:ascii="Calibri" w:hAnsi="Calibri" w:cs="Calibri"/>
          <w:sz w:val="22"/>
          <w:szCs w:val="22"/>
        </w:rPr>
        <w:t>The proposals would not erode the architectural interest of the listed buildings, nor would they compromise their historic legibility or appreciation.</w:t>
      </w:r>
    </w:p>
    <w:p w14:paraId="5B623B86" w14:textId="77017ED2" w:rsidR="00A52F89" w:rsidRDefault="00A93B74" w:rsidP="00B12D34">
      <w:pPr>
        <w:jc w:val="both"/>
        <w:rPr>
          <w:rFonts w:ascii="Calibri" w:hAnsi="Calibri" w:cs="Calibri"/>
          <w:b/>
          <w:bCs/>
          <w:color w:val="0B0C0C"/>
          <w:sz w:val="22"/>
          <w:szCs w:val="22"/>
          <w:shd w:val="clear" w:color="auto" w:fill="FFFFFF"/>
        </w:rPr>
      </w:pPr>
      <w:r w:rsidRPr="00493D1E">
        <w:rPr>
          <w:rFonts w:ascii="Calibri" w:hAnsi="Calibri" w:cs="Calibri"/>
          <w:b/>
          <w:bCs/>
          <w:color w:val="0B0C0C"/>
          <w:sz w:val="22"/>
          <w:szCs w:val="22"/>
          <w:highlight w:val="lightGray"/>
          <w:shd w:val="clear" w:color="auto" w:fill="FFFFFF"/>
        </w:rPr>
        <w:t>Conclusion</w:t>
      </w:r>
    </w:p>
    <w:p w14:paraId="12829820" w14:textId="2D32169C" w:rsidR="00442B62" w:rsidRPr="00442B62" w:rsidRDefault="00442B62" w:rsidP="00442B62">
      <w:pPr>
        <w:jc w:val="both"/>
        <w:rPr>
          <w:rFonts w:ascii="Calibri" w:hAnsi="Calibri" w:cs="Calibri"/>
          <w:color w:val="0B0C0C"/>
          <w:sz w:val="22"/>
          <w:szCs w:val="22"/>
          <w:shd w:val="clear" w:color="auto" w:fill="FFFFFF"/>
        </w:rPr>
      </w:pPr>
      <w:r w:rsidRPr="00442B62">
        <w:rPr>
          <w:rFonts w:ascii="Calibri" w:hAnsi="Calibri" w:cs="Calibri"/>
          <w:color w:val="0B0C0C"/>
          <w:sz w:val="22"/>
          <w:szCs w:val="22"/>
          <w:shd w:val="clear" w:color="auto" w:fill="FFFFFF"/>
        </w:rPr>
        <w:t xml:space="preserve">In accordance with Section 16 of the Planning (Listed Buildings and Conservation Areas) Act 1990, special regard </w:t>
      </w:r>
      <w:r w:rsidR="007971AE">
        <w:rPr>
          <w:rFonts w:ascii="Calibri" w:hAnsi="Calibri" w:cs="Calibri"/>
          <w:color w:val="0B0C0C"/>
          <w:sz w:val="22"/>
          <w:szCs w:val="22"/>
          <w:shd w:val="clear" w:color="auto" w:fill="FFFFFF"/>
        </w:rPr>
        <w:t>must be had to</w:t>
      </w:r>
      <w:r w:rsidRPr="00442B62">
        <w:rPr>
          <w:rFonts w:ascii="Calibri" w:hAnsi="Calibri" w:cs="Calibri"/>
          <w:color w:val="0B0C0C"/>
          <w:sz w:val="22"/>
          <w:szCs w:val="22"/>
          <w:shd w:val="clear" w:color="auto" w:fill="FFFFFF"/>
        </w:rPr>
        <w:t xml:space="preserve"> the desirability of preserving the listed buildings and the features of special architectural and historic interest they possess.</w:t>
      </w:r>
    </w:p>
    <w:p w14:paraId="3712D1A0" w14:textId="77777777" w:rsidR="00442B62" w:rsidRPr="00442B62" w:rsidRDefault="00442B62" w:rsidP="00442B62">
      <w:pPr>
        <w:jc w:val="both"/>
        <w:rPr>
          <w:rFonts w:ascii="Calibri" w:hAnsi="Calibri" w:cs="Calibri"/>
          <w:color w:val="0B0C0C"/>
          <w:sz w:val="22"/>
          <w:szCs w:val="22"/>
          <w:shd w:val="clear" w:color="auto" w:fill="FFFFFF"/>
        </w:rPr>
      </w:pPr>
      <w:r w:rsidRPr="00442B62">
        <w:rPr>
          <w:rFonts w:ascii="Calibri" w:hAnsi="Calibri" w:cs="Calibri"/>
          <w:color w:val="0B0C0C"/>
          <w:sz w:val="22"/>
          <w:szCs w:val="22"/>
          <w:shd w:val="clear" w:color="auto" w:fill="FFFFFF"/>
        </w:rPr>
        <w:t>The proposals would give rise to a very low level of less than substantial harm, arising from the attachment of the new flood defence wall to the outer edge of the historic footpath, which would result in a subtle change to the currently open and unenclosed character of the harbour</w:t>
      </w:r>
      <w:r w:rsidRPr="00442B62">
        <w:rPr>
          <w:rFonts w:ascii="Calibri" w:hAnsi="Calibri" w:cs="Calibri"/>
          <w:color w:val="0B0C0C"/>
          <w:sz w:val="22"/>
          <w:szCs w:val="22"/>
          <w:shd w:val="clear" w:color="auto" w:fill="FFFFFF"/>
        </w:rPr>
        <w:noBreakHyphen/>
        <w:t>side curtilage.</w:t>
      </w:r>
    </w:p>
    <w:p w14:paraId="6800C455" w14:textId="77777777" w:rsidR="00442B62" w:rsidRPr="00442B62" w:rsidRDefault="00442B62" w:rsidP="00442B62">
      <w:pPr>
        <w:jc w:val="both"/>
        <w:rPr>
          <w:rFonts w:ascii="Calibri" w:hAnsi="Calibri" w:cs="Calibri"/>
          <w:color w:val="0B0C0C"/>
          <w:sz w:val="22"/>
          <w:szCs w:val="22"/>
          <w:shd w:val="clear" w:color="auto" w:fill="FFFFFF"/>
        </w:rPr>
      </w:pPr>
      <w:r w:rsidRPr="00442B62">
        <w:rPr>
          <w:rFonts w:ascii="Calibri" w:hAnsi="Calibri" w:cs="Calibri"/>
          <w:color w:val="0B0C0C"/>
          <w:sz w:val="22"/>
          <w:szCs w:val="22"/>
          <w:shd w:val="clear" w:color="auto" w:fill="FFFFFF"/>
        </w:rPr>
        <w:lastRenderedPageBreak/>
        <w:t>This harm is considered acceptable in heritage terms because it is limited in extent, does not involve the loss of historic fabric, and does not compromise the architectural interest, legibility or appreciation of the listed buildings. The historic stone</w:t>
      </w:r>
      <w:r w:rsidRPr="00442B62">
        <w:rPr>
          <w:rFonts w:ascii="Calibri" w:hAnsi="Calibri" w:cs="Calibri"/>
          <w:color w:val="0B0C0C"/>
          <w:sz w:val="22"/>
          <w:szCs w:val="22"/>
          <w:shd w:val="clear" w:color="auto" w:fill="FFFFFF"/>
        </w:rPr>
        <w:noBreakHyphen/>
        <w:t>flag paving would be retained and reinstated, and the works would preserve the overall significance of the listed buildings.</w:t>
      </w:r>
    </w:p>
    <w:p w14:paraId="0078EF96" w14:textId="759A28FF" w:rsidR="00442B62" w:rsidRPr="00442B62" w:rsidRDefault="00442B62" w:rsidP="00442B62">
      <w:pPr>
        <w:jc w:val="both"/>
        <w:rPr>
          <w:rFonts w:ascii="Calibri" w:hAnsi="Calibri" w:cs="Calibri"/>
          <w:color w:val="0B0C0C"/>
          <w:sz w:val="22"/>
          <w:szCs w:val="22"/>
          <w:shd w:val="clear" w:color="auto" w:fill="FFFFFF"/>
        </w:rPr>
      </w:pPr>
      <w:r w:rsidRPr="00442B62">
        <w:rPr>
          <w:rFonts w:ascii="Calibri" w:hAnsi="Calibri" w:cs="Calibri"/>
          <w:color w:val="0B0C0C"/>
          <w:sz w:val="22"/>
          <w:szCs w:val="22"/>
          <w:shd w:val="clear" w:color="auto" w:fill="FFFFFF"/>
        </w:rPr>
        <w:t xml:space="preserve">On this basis, the proposals are considered to preserve the listed buildings </w:t>
      </w:r>
      <w:r w:rsidR="00D035B0">
        <w:rPr>
          <w:rFonts w:ascii="Calibri" w:hAnsi="Calibri" w:cs="Calibri"/>
          <w:color w:val="0B0C0C"/>
          <w:sz w:val="22"/>
          <w:szCs w:val="22"/>
          <w:shd w:val="clear" w:color="auto" w:fill="FFFFFF"/>
        </w:rPr>
        <w:t xml:space="preserve">and their special architectural and historic </w:t>
      </w:r>
      <w:proofErr w:type="gramStart"/>
      <w:r w:rsidR="00D035B0">
        <w:rPr>
          <w:rFonts w:ascii="Calibri" w:hAnsi="Calibri" w:cs="Calibri"/>
          <w:color w:val="0B0C0C"/>
          <w:sz w:val="22"/>
          <w:szCs w:val="22"/>
          <w:shd w:val="clear" w:color="auto" w:fill="FFFFFF"/>
        </w:rPr>
        <w:t>interest</w:t>
      </w:r>
      <w:proofErr w:type="gramEnd"/>
      <w:r w:rsidR="00D035B0">
        <w:rPr>
          <w:rFonts w:ascii="Calibri" w:hAnsi="Calibri" w:cs="Calibri"/>
          <w:color w:val="0B0C0C"/>
          <w:sz w:val="22"/>
          <w:szCs w:val="22"/>
          <w:shd w:val="clear" w:color="auto" w:fill="FFFFFF"/>
        </w:rPr>
        <w:t xml:space="preserve"> </w:t>
      </w:r>
      <w:r w:rsidRPr="00442B62">
        <w:rPr>
          <w:rFonts w:ascii="Calibri" w:hAnsi="Calibri" w:cs="Calibri"/>
          <w:color w:val="0B0C0C"/>
          <w:sz w:val="22"/>
          <w:szCs w:val="22"/>
          <w:shd w:val="clear" w:color="auto" w:fill="FFFFFF"/>
        </w:rPr>
        <w:t>and no objection is raised to the Listed Building Consent, subject to the recommended condition.</w:t>
      </w:r>
    </w:p>
    <w:p w14:paraId="78BDEC9C" w14:textId="3623C608" w:rsidR="002A4F7A" w:rsidRDefault="00442B62" w:rsidP="00B12D34">
      <w:pPr>
        <w:jc w:val="both"/>
        <w:rPr>
          <w:rFonts w:ascii="Calibri" w:hAnsi="Calibri" w:cs="Calibri"/>
          <w:b/>
          <w:bCs/>
          <w:color w:val="0B0C0C"/>
          <w:sz w:val="22"/>
          <w:szCs w:val="22"/>
          <w:shd w:val="clear" w:color="auto" w:fill="FFFFFF"/>
        </w:rPr>
      </w:pPr>
      <w:r>
        <w:rPr>
          <w:rFonts w:ascii="Calibri" w:hAnsi="Calibri" w:cs="Calibri"/>
          <w:b/>
          <w:bCs/>
          <w:color w:val="0B0C0C"/>
          <w:sz w:val="22"/>
          <w:szCs w:val="22"/>
          <w:shd w:val="clear" w:color="auto" w:fill="FFFFFF"/>
        </w:rPr>
        <w:t xml:space="preserve">NO OBJECTION subject to the following condition: </w:t>
      </w:r>
    </w:p>
    <w:p w14:paraId="3A5C2DD0" w14:textId="19CB74F2" w:rsidR="002C36C1" w:rsidRDefault="009F78FC" w:rsidP="002C36C1">
      <w:pPr>
        <w:pStyle w:val="ListParagraph"/>
        <w:numPr>
          <w:ilvl w:val="0"/>
          <w:numId w:val="29"/>
        </w:numPr>
        <w:jc w:val="both"/>
        <w:rPr>
          <w:rFonts w:ascii="Calibri" w:hAnsi="Calibri" w:cs="Calibri"/>
          <w:color w:val="0B0C0C"/>
          <w:sz w:val="22"/>
          <w:szCs w:val="22"/>
          <w:shd w:val="clear" w:color="auto" w:fill="FFFFFF"/>
        </w:rPr>
      </w:pPr>
      <w:r>
        <w:rPr>
          <w:rFonts w:ascii="Calibri" w:hAnsi="Calibri" w:cs="Calibri"/>
          <w:color w:val="0B0C0C"/>
          <w:sz w:val="22"/>
          <w:szCs w:val="22"/>
          <w:shd w:val="clear" w:color="auto" w:fill="FFFFFF"/>
        </w:rPr>
        <w:t>Notwithstanding</w:t>
      </w:r>
      <w:r w:rsidR="002C36C1">
        <w:rPr>
          <w:rFonts w:ascii="Calibri" w:hAnsi="Calibri" w:cs="Calibri"/>
          <w:color w:val="0B0C0C"/>
          <w:sz w:val="22"/>
          <w:szCs w:val="22"/>
          <w:shd w:val="clear" w:color="auto" w:fill="FFFFFF"/>
        </w:rPr>
        <w:t xml:space="preserve"> the approved</w:t>
      </w:r>
      <w:r w:rsidR="0070307C">
        <w:rPr>
          <w:rFonts w:ascii="Calibri" w:hAnsi="Calibri" w:cs="Calibri"/>
          <w:color w:val="0B0C0C"/>
          <w:sz w:val="22"/>
          <w:szCs w:val="22"/>
          <w:shd w:val="clear" w:color="auto" w:fill="FFFFFF"/>
        </w:rPr>
        <w:t xml:space="preserve"> </w:t>
      </w:r>
      <w:r>
        <w:rPr>
          <w:rFonts w:ascii="Calibri" w:hAnsi="Calibri" w:cs="Calibri"/>
          <w:color w:val="0B0C0C"/>
          <w:sz w:val="22"/>
          <w:szCs w:val="22"/>
          <w:shd w:val="clear" w:color="auto" w:fill="FFFFFF"/>
        </w:rPr>
        <w:t xml:space="preserve">drawings, no works affecting the existing footpath forming </w:t>
      </w:r>
      <w:r w:rsidR="0026557C">
        <w:rPr>
          <w:rFonts w:ascii="Calibri" w:hAnsi="Calibri" w:cs="Calibri"/>
          <w:color w:val="0B0C0C"/>
          <w:sz w:val="22"/>
          <w:szCs w:val="22"/>
          <w:shd w:val="clear" w:color="auto" w:fill="FFFFFF"/>
        </w:rPr>
        <w:t>the front</w:t>
      </w:r>
      <w:r>
        <w:rPr>
          <w:rFonts w:ascii="Calibri" w:hAnsi="Calibri" w:cs="Calibri"/>
          <w:color w:val="0B0C0C"/>
          <w:sz w:val="22"/>
          <w:szCs w:val="22"/>
          <w:shd w:val="clear" w:color="auto" w:fill="FFFFFF"/>
        </w:rPr>
        <w:t xml:space="preserve"> curtilage of Nos 16, </w:t>
      </w:r>
      <w:r w:rsidR="0070307C">
        <w:rPr>
          <w:rFonts w:ascii="Calibri" w:hAnsi="Calibri" w:cs="Calibri"/>
          <w:color w:val="0B0C0C"/>
          <w:sz w:val="22"/>
          <w:szCs w:val="22"/>
          <w:shd w:val="clear" w:color="auto" w:fill="FFFFFF"/>
        </w:rPr>
        <w:t>Langstone High Street shall commence until full details of the lifting</w:t>
      </w:r>
      <w:r>
        <w:rPr>
          <w:rFonts w:ascii="Calibri" w:hAnsi="Calibri" w:cs="Calibri"/>
          <w:color w:val="0B0C0C"/>
          <w:sz w:val="22"/>
          <w:szCs w:val="22"/>
          <w:shd w:val="clear" w:color="auto" w:fill="FFFFFF"/>
        </w:rPr>
        <w:t xml:space="preserve">, storage, protection and reinstatement of the flagstones have been </w:t>
      </w:r>
      <w:r w:rsidR="00E72256">
        <w:rPr>
          <w:rFonts w:ascii="Calibri" w:hAnsi="Calibri" w:cs="Calibri"/>
          <w:color w:val="0B0C0C"/>
          <w:sz w:val="22"/>
          <w:szCs w:val="22"/>
          <w:shd w:val="clear" w:color="auto" w:fill="FFFFFF"/>
        </w:rPr>
        <w:t xml:space="preserve">submitted to and approved in writing by the Local Planning Authority. </w:t>
      </w:r>
    </w:p>
    <w:p w14:paraId="0C123BF3" w14:textId="2B94AC4B" w:rsidR="00E72256" w:rsidRDefault="00E72256" w:rsidP="00FB6004">
      <w:pPr>
        <w:jc w:val="both"/>
        <w:rPr>
          <w:rFonts w:ascii="Calibri" w:hAnsi="Calibri" w:cs="Calibri"/>
          <w:color w:val="0B0C0C"/>
          <w:sz w:val="22"/>
          <w:szCs w:val="22"/>
          <w:shd w:val="clear" w:color="auto" w:fill="FFFFFF"/>
        </w:rPr>
      </w:pPr>
      <w:r>
        <w:rPr>
          <w:rFonts w:ascii="Calibri" w:hAnsi="Calibri" w:cs="Calibri"/>
          <w:color w:val="0B0C0C"/>
          <w:sz w:val="22"/>
          <w:szCs w:val="22"/>
          <w:shd w:val="clear" w:color="auto" w:fill="FFFFFF"/>
        </w:rPr>
        <w:t xml:space="preserve">The details shall include: </w:t>
      </w:r>
    </w:p>
    <w:p w14:paraId="51DB083A" w14:textId="1D2735A9" w:rsidR="00E72256" w:rsidRDefault="009C0338" w:rsidP="00A04BBA">
      <w:pPr>
        <w:pStyle w:val="ListParagraph"/>
        <w:numPr>
          <w:ilvl w:val="0"/>
          <w:numId w:val="31"/>
        </w:numPr>
        <w:jc w:val="both"/>
        <w:rPr>
          <w:rFonts w:ascii="Calibri" w:hAnsi="Calibri" w:cs="Calibri"/>
          <w:color w:val="0B0C0C"/>
          <w:sz w:val="22"/>
          <w:szCs w:val="22"/>
          <w:shd w:val="clear" w:color="auto" w:fill="FFFFFF"/>
        </w:rPr>
      </w:pPr>
      <w:r>
        <w:rPr>
          <w:rFonts w:ascii="Calibri" w:hAnsi="Calibri" w:cs="Calibri"/>
          <w:color w:val="0B0C0C"/>
          <w:sz w:val="22"/>
          <w:szCs w:val="22"/>
          <w:shd w:val="clear" w:color="auto" w:fill="FFFFFF"/>
        </w:rPr>
        <w:t>A record of the existing layout and levels of the flagstones</w:t>
      </w:r>
    </w:p>
    <w:p w14:paraId="7F10D911" w14:textId="65AB7526" w:rsidR="009C0338" w:rsidRDefault="009C0338" w:rsidP="00A04BBA">
      <w:pPr>
        <w:pStyle w:val="ListParagraph"/>
        <w:numPr>
          <w:ilvl w:val="0"/>
          <w:numId w:val="31"/>
        </w:numPr>
        <w:jc w:val="both"/>
        <w:rPr>
          <w:rFonts w:ascii="Calibri" w:hAnsi="Calibri" w:cs="Calibri"/>
          <w:color w:val="0B0C0C"/>
          <w:sz w:val="22"/>
          <w:szCs w:val="22"/>
          <w:shd w:val="clear" w:color="auto" w:fill="FFFFFF"/>
        </w:rPr>
      </w:pPr>
      <w:r>
        <w:rPr>
          <w:rFonts w:ascii="Calibri" w:hAnsi="Calibri" w:cs="Calibri"/>
          <w:color w:val="0B0C0C"/>
          <w:sz w:val="22"/>
          <w:szCs w:val="22"/>
          <w:shd w:val="clear" w:color="auto" w:fill="FFFFFF"/>
        </w:rPr>
        <w:t xml:space="preserve">Proposals for careful lifting and temporary storage </w:t>
      </w:r>
    </w:p>
    <w:p w14:paraId="67D6ECD7" w14:textId="6F85671B" w:rsidR="009C0338" w:rsidRDefault="009C0338" w:rsidP="00A04BBA">
      <w:pPr>
        <w:pStyle w:val="ListParagraph"/>
        <w:numPr>
          <w:ilvl w:val="0"/>
          <w:numId w:val="31"/>
        </w:numPr>
        <w:jc w:val="both"/>
        <w:rPr>
          <w:rFonts w:ascii="Calibri" w:hAnsi="Calibri" w:cs="Calibri"/>
          <w:color w:val="0B0C0C"/>
          <w:sz w:val="22"/>
          <w:szCs w:val="22"/>
          <w:shd w:val="clear" w:color="auto" w:fill="FFFFFF"/>
        </w:rPr>
      </w:pPr>
      <w:r>
        <w:rPr>
          <w:rFonts w:ascii="Calibri" w:hAnsi="Calibri" w:cs="Calibri"/>
          <w:color w:val="0B0C0C"/>
          <w:sz w:val="22"/>
          <w:szCs w:val="22"/>
          <w:shd w:val="clear" w:color="auto" w:fill="FFFFFF"/>
        </w:rPr>
        <w:t>Measures to prevent damage during construction</w:t>
      </w:r>
      <w:r w:rsidR="00FB6004">
        <w:rPr>
          <w:rFonts w:ascii="Calibri" w:hAnsi="Calibri" w:cs="Calibri"/>
          <w:color w:val="0B0C0C"/>
          <w:sz w:val="22"/>
          <w:szCs w:val="22"/>
          <w:shd w:val="clear" w:color="auto" w:fill="FFFFFF"/>
        </w:rPr>
        <w:t xml:space="preserve">; and </w:t>
      </w:r>
    </w:p>
    <w:p w14:paraId="5A8265DB" w14:textId="541FD54A" w:rsidR="00FB6004" w:rsidRPr="00E72256" w:rsidRDefault="00FB6004" w:rsidP="00A04BBA">
      <w:pPr>
        <w:pStyle w:val="ListParagraph"/>
        <w:numPr>
          <w:ilvl w:val="0"/>
          <w:numId w:val="31"/>
        </w:numPr>
        <w:jc w:val="both"/>
        <w:rPr>
          <w:rFonts w:ascii="Calibri" w:hAnsi="Calibri" w:cs="Calibri"/>
          <w:color w:val="0B0C0C"/>
          <w:sz w:val="22"/>
          <w:szCs w:val="22"/>
          <w:shd w:val="clear" w:color="auto" w:fill="FFFFFF"/>
        </w:rPr>
      </w:pPr>
      <w:r>
        <w:rPr>
          <w:rFonts w:ascii="Calibri" w:hAnsi="Calibri" w:cs="Calibri"/>
          <w:color w:val="0B0C0C"/>
          <w:sz w:val="22"/>
          <w:szCs w:val="22"/>
          <w:shd w:val="clear" w:color="auto" w:fill="FFFFFF"/>
        </w:rPr>
        <w:t xml:space="preserve">Details of reinstatement, including bedding, jointing and final levels. </w:t>
      </w:r>
    </w:p>
    <w:p w14:paraId="53FC395D" w14:textId="538944C3" w:rsidR="00FB6004" w:rsidRDefault="00FB6004" w:rsidP="00FB6004">
      <w:pPr>
        <w:jc w:val="both"/>
        <w:rPr>
          <w:rFonts w:ascii="Calibri" w:hAnsi="Calibri" w:cs="Calibri"/>
          <w:color w:val="0B0C0C"/>
          <w:sz w:val="22"/>
          <w:szCs w:val="22"/>
          <w:shd w:val="clear" w:color="auto" w:fill="FFFFFF"/>
        </w:rPr>
      </w:pPr>
      <w:r>
        <w:rPr>
          <w:rFonts w:ascii="Calibri" w:hAnsi="Calibri" w:cs="Calibri"/>
          <w:color w:val="0B0C0C"/>
          <w:sz w:val="22"/>
          <w:szCs w:val="22"/>
          <w:shd w:val="clear" w:color="auto" w:fill="FFFFFF"/>
        </w:rPr>
        <w:t xml:space="preserve">The </w:t>
      </w:r>
      <w:r w:rsidR="00D902EB">
        <w:rPr>
          <w:rFonts w:ascii="Calibri" w:hAnsi="Calibri" w:cs="Calibri"/>
          <w:color w:val="0B0C0C"/>
          <w:sz w:val="22"/>
          <w:szCs w:val="22"/>
          <w:shd w:val="clear" w:color="auto" w:fill="FFFFFF"/>
        </w:rPr>
        <w:t>works shall thereafter be carried out full</w:t>
      </w:r>
      <w:r w:rsidR="00F61B97">
        <w:rPr>
          <w:rFonts w:ascii="Calibri" w:hAnsi="Calibri" w:cs="Calibri"/>
          <w:color w:val="0B0C0C"/>
          <w:sz w:val="22"/>
          <w:szCs w:val="22"/>
          <w:shd w:val="clear" w:color="auto" w:fill="FFFFFF"/>
        </w:rPr>
        <w:t>y</w:t>
      </w:r>
      <w:r w:rsidR="00D902EB">
        <w:rPr>
          <w:rFonts w:ascii="Calibri" w:hAnsi="Calibri" w:cs="Calibri"/>
          <w:color w:val="0B0C0C"/>
          <w:sz w:val="22"/>
          <w:szCs w:val="22"/>
          <w:shd w:val="clear" w:color="auto" w:fill="FFFFFF"/>
        </w:rPr>
        <w:t xml:space="preserve"> in accordance with the approved details. </w:t>
      </w:r>
    </w:p>
    <w:p w14:paraId="57D2DDF5" w14:textId="26B263A3" w:rsidR="00504F94" w:rsidRPr="00504F94" w:rsidRDefault="00D63642" w:rsidP="00504F94">
      <w:pPr>
        <w:jc w:val="both"/>
        <w:rPr>
          <w:rFonts w:ascii="Calibri" w:hAnsi="Calibri" w:cs="Calibri"/>
          <w:sz w:val="22"/>
          <w:szCs w:val="22"/>
        </w:rPr>
      </w:pPr>
      <w:r w:rsidRPr="00504F94">
        <w:rPr>
          <w:rFonts w:ascii="Calibri" w:hAnsi="Calibri" w:cs="Calibri"/>
          <w:b/>
          <w:bCs/>
          <w:color w:val="0B0C0C"/>
          <w:sz w:val="22"/>
          <w:szCs w:val="22"/>
          <w:shd w:val="clear" w:color="auto" w:fill="FFFFFF"/>
        </w:rPr>
        <w:t>Reason:</w:t>
      </w:r>
      <w:r w:rsidRPr="00504F94">
        <w:rPr>
          <w:rFonts w:ascii="Calibri" w:hAnsi="Calibri" w:cs="Calibri"/>
          <w:color w:val="0B0C0C"/>
          <w:sz w:val="22"/>
          <w:szCs w:val="22"/>
          <w:shd w:val="clear" w:color="auto" w:fill="FFFFFF"/>
        </w:rPr>
        <w:t xml:space="preserve"> to preserve historic fabric and safeguard the special architectural </w:t>
      </w:r>
      <w:r w:rsidR="00B71500" w:rsidRPr="00504F94">
        <w:rPr>
          <w:rFonts w:ascii="Calibri" w:hAnsi="Calibri" w:cs="Calibri"/>
          <w:color w:val="0B0C0C"/>
          <w:sz w:val="22"/>
          <w:szCs w:val="22"/>
          <w:shd w:val="clear" w:color="auto" w:fill="FFFFFF"/>
        </w:rPr>
        <w:t>and historic interest of the listed buildings, in accordance with Section 16 of the Planning (Listed Buildings and Conservation Areas) Act 1990</w:t>
      </w:r>
      <w:r w:rsidR="00A04BBA">
        <w:rPr>
          <w:rFonts w:ascii="Calibri" w:hAnsi="Calibri" w:cs="Calibri"/>
          <w:color w:val="0B0C0C"/>
          <w:sz w:val="22"/>
          <w:szCs w:val="22"/>
          <w:shd w:val="clear" w:color="auto" w:fill="FFFFFF"/>
        </w:rPr>
        <w:t xml:space="preserve">. </w:t>
      </w:r>
    </w:p>
    <w:p w14:paraId="5B1B36C0" w14:textId="57BDC77F" w:rsidR="00402EEE" w:rsidRPr="00C91078" w:rsidRDefault="00402EEE" w:rsidP="00C91078">
      <w:pPr>
        <w:pStyle w:val="ListParagraph"/>
        <w:numPr>
          <w:ilvl w:val="0"/>
          <w:numId w:val="29"/>
        </w:numPr>
        <w:jc w:val="both"/>
        <w:rPr>
          <w:rFonts w:ascii="Calibri" w:hAnsi="Calibri" w:cs="Calibri"/>
          <w:sz w:val="22"/>
          <w:szCs w:val="22"/>
        </w:rPr>
      </w:pPr>
      <w:r w:rsidRPr="00C91078">
        <w:rPr>
          <w:rFonts w:ascii="Calibri" w:hAnsi="Calibri" w:cs="Calibri"/>
          <w:sz w:val="22"/>
          <w:szCs w:val="22"/>
        </w:rPr>
        <w:t xml:space="preserve">Where any existing stone-flay paving forming part of the curtilage of </w:t>
      </w:r>
      <w:r w:rsidR="00C91078">
        <w:rPr>
          <w:rFonts w:ascii="Calibri" w:hAnsi="Calibri" w:cs="Calibri"/>
          <w:sz w:val="22"/>
          <w:szCs w:val="22"/>
        </w:rPr>
        <w:t>Nos 16, 17 and 18 Langstone High Street</w:t>
      </w:r>
      <w:r w:rsidR="00B65468">
        <w:rPr>
          <w:rFonts w:ascii="Calibri" w:hAnsi="Calibri" w:cs="Calibri"/>
          <w:sz w:val="22"/>
          <w:szCs w:val="22"/>
        </w:rPr>
        <w:t xml:space="preserve"> </w:t>
      </w:r>
      <w:r w:rsidRPr="00C91078">
        <w:rPr>
          <w:rFonts w:ascii="Calibri" w:hAnsi="Calibri" w:cs="Calibri"/>
          <w:sz w:val="22"/>
          <w:szCs w:val="22"/>
        </w:rPr>
        <w:t xml:space="preserve">is demonstrated, to the satisfaction of the Local Planning Authority, to be incapable of reinstatement, no replacement materials shall be installed until details of the proposed replacement stone have been submitted to and approved in writing by the Local Planning Authority. </w:t>
      </w:r>
    </w:p>
    <w:p w14:paraId="3E10454F" w14:textId="77777777" w:rsidR="00402EEE" w:rsidRDefault="00402EEE" w:rsidP="00402EEE">
      <w:pPr>
        <w:pStyle w:val="ListParagraph"/>
        <w:jc w:val="both"/>
        <w:rPr>
          <w:rFonts w:ascii="Calibri" w:hAnsi="Calibri" w:cs="Calibri"/>
          <w:sz w:val="22"/>
          <w:szCs w:val="22"/>
        </w:rPr>
      </w:pPr>
    </w:p>
    <w:p w14:paraId="113FAE36" w14:textId="77777777" w:rsidR="00402EEE" w:rsidRDefault="00402EEE" w:rsidP="00402EEE">
      <w:pPr>
        <w:pStyle w:val="ListParagraph"/>
        <w:jc w:val="both"/>
        <w:rPr>
          <w:rFonts w:ascii="Calibri" w:hAnsi="Calibri" w:cs="Calibri"/>
          <w:sz w:val="22"/>
          <w:szCs w:val="22"/>
        </w:rPr>
      </w:pPr>
      <w:r>
        <w:rPr>
          <w:rFonts w:ascii="Calibri" w:hAnsi="Calibri" w:cs="Calibri"/>
          <w:sz w:val="22"/>
          <w:szCs w:val="22"/>
        </w:rPr>
        <w:t xml:space="preserve">The details shall include the source, type, dimensions, texture and finish of the replacement stone, which shall match the existing stone-flag paving as closely as possible. </w:t>
      </w:r>
    </w:p>
    <w:p w14:paraId="530AFE2B" w14:textId="77777777" w:rsidR="00402EEE" w:rsidRDefault="00402EEE" w:rsidP="00402EEE">
      <w:pPr>
        <w:pStyle w:val="ListParagraph"/>
        <w:jc w:val="both"/>
        <w:rPr>
          <w:rFonts w:ascii="Calibri" w:hAnsi="Calibri" w:cs="Calibri"/>
          <w:sz w:val="22"/>
          <w:szCs w:val="22"/>
        </w:rPr>
      </w:pPr>
    </w:p>
    <w:p w14:paraId="67C5AC6F" w14:textId="77777777" w:rsidR="00402EEE" w:rsidRPr="00DF32BA" w:rsidRDefault="00402EEE" w:rsidP="00402EEE">
      <w:pPr>
        <w:pStyle w:val="ListParagraph"/>
        <w:jc w:val="both"/>
        <w:rPr>
          <w:rFonts w:ascii="Calibri" w:hAnsi="Calibri" w:cs="Calibri"/>
          <w:sz w:val="22"/>
          <w:szCs w:val="22"/>
        </w:rPr>
      </w:pPr>
      <w:r>
        <w:rPr>
          <w:rFonts w:ascii="Calibri" w:hAnsi="Calibri" w:cs="Calibri"/>
          <w:sz w:val="22"/>
          <w:szCs w:val="22"/>
        </w:rPr>
        <w:t xml:space="preserve">The works shall thereafter be carried out fully in accordance with the approved details. </w:t>
      </w:r>
    </w:p>
    <w:p w14:paraId="2574FEFC" w14:textId="77777777" w:rsidR="00402EEE" w:rsidRPr="000B17A7" w:rsidRDefault="00402EEE" w:rsidP="00402EEE">
      <w:pPr>
        <w:jc w:val="both"/>
        <w:rPr>
          <w:rFonts w:ascii="Calibri" w:hAnsi="Calibri" w:cs="Calibri"/>
          <w:sz w:val="22"/>
          <w:szCs w:val="22"/>
        </w:rPr>
      </w:pPr>
      <w:r w:rsidRPr="006A3AD6">
        <w:rPr>
          <w:rFonts w:ascii="Calibri" w:hAnsi="Calibri" w:cs="Calibri"/>
          <w:b/>
          <w:bCs/>
          <w:sz w:val="22"/>
          <w:szCs w:val="22"/>
        </w:rPr>
        <w:t>Reason:</w:t>
      </w:r>
      <w:r>
        <w:rPr>
          <w:rFonts w:ascii="Calibri" w:hAnsi="Calibri" w:cs="Calibri"/>
          <w:sz w:val="22"/>
          <w:szCs w:val="22"/>
        </w:rPr>
        <w:t xml:space="preserve"> To ensure that any replacement materials preserve the character and appearance of the historic curtilage and safeguard the special architectural and historic interest of the listed building, in accordance with Section 16 of the Planning (Listed Buildings and Conservation Areas) Act 1990. </w:t>
      </w:r>
    </w:p>
    <w:p w14:paraId="2440800F" w14:textId="4F99D858" w:rsidR="00D63642" w:rsidRPr="00FB6004" w:rsidRDefault="00D63642" w:rsidP="00FB6004">
      <w:pPr>
        <w:jc w:val="both"/>
        <w:rPr>
          <w:rFonts w:ascii="Calibri" w:hAnsi="Calibri" w:cs="Calibri"/>
          <w:color w:val="0B0C0C"/>
          <w:sz w:val="22"/>
          <w:szCs w:val="22"/>
          <w:shd w:val="clear" w:color="auto" w:fill="FFFFFF"/>
        </w:rPr>
      </w:pPr>
    </w:p>
    <w:sectPr w:rsidR="00D63642" w:rsidRPr="00FB600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6052C"/>
    <w:multiLevelType w:val="hybridMultilevel"/>
    <w:tmpl w:val="8662D6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867A05"/>
    <w:multiLevelType w:val="hybridMultilevel"/>
    <w:tmpl w:val="B81EE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E92D4E"/>
    <w:multiLevelType w:val="hybridMultilevel"/>
    <w:tmpl w:val="7E420FFA"/>
    <w:lvl w:ilvl="0" w:tplc="1096D03E">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CA5202"/>
    <w:multiLevelType w:val="hybridMultilevel"/>
    <w:tmpl w:val="E1949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095C78"/>
    <w:multiLevelType w:val="multilevel"/>
    <w:tmpl w:val="722EE9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541EC0"/>
    <w:multiLevelType w:val="multilevel"/>
    <w:tmpl w:val="A4B08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D932F4"/>
    <w:multiLevelType w:val="hybridMultilevel"/>
    <w:tmpl w:val="BE8A63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BD02D06"/>
    <w:multiLevelType w:val="hybridMultilevel"/>
    <w:tmpl w:val="B644EDCE"/>
    <w:lvl w:ilvl="0" w:tplc="7C043048">
      <w:start w:val="1"/>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CDB2174"/>
    <w:multiLevelType w:val="hybridMultilevel"/>
    <w:tmpl w:val="69AEB6E4"/>
    <w:lvl w:ilvl="0" w:tplc="5A92F5DA">
      <w:start w:val="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BB2965"/>
    <w:multiLevelType w:val="hybridMultilevel"/>
    <w:tmpl w:val="017EB5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4D8312D"/>
    <w:multiLevelType w:val="hybridMultilevel"/>
    <w:tmpl w:val="9AE280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5D813E5"/>
    <w:multiLevelType w:val="hybridMultilevel"/>
    <w:tmpl w:val="C9EE32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6012D44"/>
    <w:multiLevelType w:val="hybridMultilevel"/>
    <w:tmpl w:val="EB12B45E"/>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 w15:restartNumberingAfterBreak="0">
    <w:nsid w:val="2A5E00E0"/>
    <w:multiLevelType w:val="hybridMultilevel"/>
    <w:tmpl w:val="2F10E30C"/>
    <w:lvl w:ilvl="0" w:tplc="EF98253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9D1D8D"/>
    <w:multiLevelType w:val="hybridMultilevel"/>
    <w:tmpl w:val="9188B6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17B77BD"/>
    <w:multiLevelType w:val="hybridMultilevel"/>
    <w:tmpl w:val="52A263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7AA21CB"/>
    <w:multiLevelType w:val="hybridMultilevel"/>
    <w:tmpl w:val="5C4E99E8"/>
    <w:lvl w:ilvl="0" w:tplc="FB3AA54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8AE202A"/>
    <w:multiLevelType w:val="hybridMultilevel"/>
    <w:tmpl w:val="1F4AB8FA"/>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AE40C2C"/>
    <w:multiLevelType w:val="hybridMultilevel"/>
    <w:tmpl w:val="061815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C985CC5"/>
    <w:multiLevelType w:val="hybridMultilevel"/>
    <w:tmpl w:val="437E8AF2"/>
    <w:lvl w:ilvl="0" w:tplc="CECCE4C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4A283390"/>
    <w:multiLevelType w:val="hybridMultilevel"/>
    <w:tmpl w:val="062629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ADE6CAE"/>
    <w:multiLevelType w:val="hybridMultilevel"/>
    <w:tmpl w:val="E9EEE0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1514BC4"/>
    <w:multiLevelType w:val="multilevel"/>
    <w:tmpl w:val="E2F2E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18934EC"/>
    <w:multiLevelType w:val="hybridMultilevel"/>
    <w:tmpl w:val="E0164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3286AAA"/>
    <w:multiLevelType w:val="hybridMultilevel"/>
    <w:tmpl w:val="769804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8811E3D"/>
    <w:multiLevelType w:val="multilevel"/>
    <w:tmpl w:val="A100F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9C816DC"/>
    <w:multiLevelType w:val="hybridMultilevel"/>
    <w:tmpl w:val="DE001E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AC165D3"/>
    <w:multiLevelType w:val="hybridMultilevel"/>
    <w:tmpl w:val="1C44DA40"/>
    <w:lvl w:ilvl="0" w:tplc="81948934">
      <w:start w:val="1"/>
      <w:numFmt w:val="decimal"/>
      <w:lvlText w:val="%1."/>
      <w:lvlJc w:val="left"/>
      <w:pPr>
        <w:ind w:left="720" w:hanging="360"/>
      </w:pPr>
      <w:rPr>
        <w:rFonts w:ascii="Calibri" w:hAnsi="Calibri" w:cs="Calibri" w:hint="default"/>
        <w:color w:val="0B0C0C"/>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BB50ACD"/>
    <w:multiLevelType w:val="hybridMultilevel"/>
    <w:tmpl w:val="9F481D1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E7B2A48"/>
    <w:multiLevelType w:val="hybridMultilevel"/>
    <w:tmpl w:val="6AEC4A10"/>
    <w:lvl w:ilvl="0" w:tplc="5A92F5DA">
      <w:start w:val="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64A39CD"/>
    <w:multiLevelType w:val="multilevel"/>
    <w:tmpl w:val="529EF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9B5576D"/>
    <w:multiLevelType w:val="multilevel"/>
    <w:tmpl w:val="68FE78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1923702">
    <w:abstractNumId w:val="14"/>
  </w:num>
  <w:num w:numId="2" w16cid:durableId="751972753">
    <w:abstractNumId w:val="28"/>
  </w:num>
  <w:num w:numId="3" w16cid:durableId="1809206664">
    <w:abstractNumId w:val="17"/>
  </w:num>
  <w:num w:numId="4" w16cid:durableId="2032418738">
    <w:abstractNumId w:val="23"/>
  </w:num>
  <w:num w:numId="5" w16cid:durableId="887572044">
    <w:abstractNumId w:val="10"/>
  </w:num>
  <w:num w:numId="6" w16cid:durableId="315845238">
    <w:abstractNumId w:val="21"/>
  </w:num>
  <w:num w:numId="7" w16cid:durableId="159973812">
    <w:abstractNumId w:val="3"/>
  </w:num>
  <w:num w:numId="8" w16cid:durableId="1633057636">
    <w:abstractNumId w:val="1"/>
  </w:num>
  <w:num w:numId="9" w16cid:durableId="999768810">
    <w:abstractNumId w:val="27"/>
  </w:num>
  <w:num w:numId="10" w16cid:durableId="979652522">
    <w:abstractNumId w:val="26"/>
  </w:num>
  <w:num w:numId="11" w16cid:durableId="1415201962">
    <w:abstractNumId w:val="9"/>
  </w:num>
  <w:num w:numId="12" w16cid:durableId="2146316439">
    <w:abstractNumId w:val="0"/>
  </w:num>
  <w:num w:numId="13" w16cid:durableId="1963880985">
    <w:abstractNumId w:val="2"/>
  </w:num>
  <w:num w:numId="14" w16cid:durableId="31345016">
    <w:abstractNumId w:val="24"/>
  </w:num>
  <w:num w:numId="15" w16cid:durableId="1813019218">
    <w:abstractNumId w:val="13"/>
  </w:num>
  <w:num w:numId="16" w16cid:durableId="1040472172">
    <w:abstractNumId w:val="19"/>
  </w:num>
  <w:num w:numId="17" w16cid:durableId="857744031">
    <w:abstractNumId w:val="6"/>
  </w:num>
  <w:num w:numId="18" w16cid:durableId="1339457360">
    <w:abstractNumId w:val="18"/>
  </w:num>
  <w:num w:numId="19" w16cid:durableId="1545485268">
    <w:abstractNumId w:val="16"/>
  </w:num>
  <w:num w:numId="20" w16cid:durableId="1944650987">
    <w:abstractNumId w:val="22"/>
  </w:num>
  <w:num w:numId="21" w16cid:durableId="983582430">
    <w:abstractNumId w:val="25"/>
  </w:num>
  <w:num w:numId="22" w16cid:durableId="421024731">
    <w:abstractNumId w:val="8"/>
  </w:num>
  <w:num w:numId="23" w16cid:durableId="1104378450">
    <w:abstractNumId w:val="29"/>
  </w:num>
  <w:num w:numId="24" w16cid:durableId="153843061">
    <w:abstractNumId w:val="5"/>
  </w:num>
  <w:num w:numId="25" w16cid:durableId="1148672827">
    <w:abstractNumId w:val="4"/>
  </w:num>
  <w:num w:numId="26" w16cid:durableId="1926305654">
    <w:abstractNumId w:val="31"/>
  </w:num>
  <w:num w:numId="27" w16cid:durableId="1765033022">
    <w:abstractNumId w:val="30"/>
  </w:num>
  <w:num w:numId="28" w16cid:durableId="1201169578">
    <w:abstractNumId w:val="15"/>
  </w:num>
  <w:num w:numId="29" w16cid:durableId="1934582967">
    <w:abstractNumId w:val="20"/>
  </w:num>
  <w:num w:numId="30" w16cid:durableId="633408310">
    <w:abstractNumId w:val="7"/>
  </w:num>
  <w:num w:numId="31" w16cid:durableId="1267420588">
    <w:abstractNumId w:val="12"/>
  </w:num>
  <w:num w:numId="32" w16cid:durableId="6098944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D34"/>
    <w:rsid w:val="000010F6"/>
    <w:rsid w:val="0000221E"/>
    <w:rsid w:val="00003B6E"/>
    <w:rsid w:val="00023651"/>
    <w:rsid w:val="00027E98"/>
    <w:rsid w:val="00031708"/>
    <w:rsid w:val="00032BAD"/>
    <w:rsid w:val="00036618"/>
    <w:rsid w:val="000378D9"/>
    <w:rsid w:val="00046B51"/>
    <w:rsid w:val="000A3ED3"/>
    <w:rsid w:val="000B007A"/>
    <w:rsid w:val="000B17A7"/>
    <w:rsid w:val="000B3B84"/>
    <w:rsid w:val="000C66F8"/>
    <w:rsid w:val="000C6896"/>
    <w:rsid w:val="000D1230"/>
    <w:rsid w:val="000D281E"/>
    <w:rsid w:val="0012767B"/>
    <w:rsid w:val="00136C77"/>
    <w:rsid w:val="0014625B"/>
    <w:rsid w:val="00170E0A"/>
    <w:rsid w:val="00177BEF"/>
    <w:rsid w:val="00181232"/>
    <w:rsid w:val="00195710"/>
    <w:rsid w:val="00195D83"/>
    <w:rsid w:val="001B4EEA"/>
    <w:rsid w:val="001E19CA"/>
    <w:rsid w:val="00205253"/>
    <w:rsid w:val="00214695"/>
    <w:rsid w:val="0021656A"/>
    <w:rsid w:val="0025513C"/>
    <w:rsid w:val="0026557C"/>
    <w:rsid w:val="00270A21"/>
    <w:rsid w:val="0027172E"/>
    <w:rsid w:val="002727E7"/>
    <w:rsid w:val="00291CE4"/>
    <w:rsid w:val="002A25D7"/>
    <w:rsid w:val="002A4F7A"/>
    <w:rsid w:val="002A749C"/>
    <w:rsid w:val="002C36C1"/>
    <w:rsid w:val="002D2C5D"/>
    <w:rsid w:val="002D7F26"/>
    <w:rsid w:val="002E5E23"/>
    <w:rsid w:val="002F6E50"/>
    <w:rsid w:val="00301BA2"/>
    <w:rsid w:val="00317A8F"/>
    <w:rsid w:val="0033167B"/>
    <w:rsid w:val="0034327E"/>
    <w:rsid w:val="00343DA8"/>
    <w:rsid w:val="003B4A51"/>
    <w:rsid w:val="003E548E"/>
    <w:rsid w:val="003F58EF"/>
    <w:rsid w:val="00402EEE"/>
    <w:rsid w:val="004276D2"/>
    <w:rsid w:val="00434709"/>
    <w:rsid w:val="0043716D"/>
    <w:rsid w:val="004377FB"/>
    <w:rsid w:val="00442B62"/>
    <w:rsid w:val="004458F7"/>
    <w:rsid w:val="00463DFD"/>
    <w:rsid w:val="00471B1B"/>
    <w:rsid w:val="00474EE8"/>
    <w:rsid w:val="004805A8"/>
    <w:rsid w:val="00493D1E"/>
    <w:rsid w:val="004C6E91"/>
    <w:rsid w:val="004E41DC"/>
    <w:rsid w:val="004F61DA"/>
    <w:rsid w:val="005027FF"/>
    <w:rsid w:val="00504F94"/>
    <w:rsid w:val="005225AA"/>
    <w:rsid w:val="0053182E"/>
    <w:rsid w:val="00535273"/>
    <w:rsid w:val="00580A86"/>
    <w:rsid w:val="00586210"/>
    <w:rsid w:val="0059063F"/>
    <w:rsid w:val="005A0CAD"/>
    <w:rsid w:val="005A1B31"/>
    <w:rsid w:val="005A2565"/>
    <w:rsid w:val="005E3299"/>
    <w:rsid w:val="005E41E7"/>
    <w:rsid w:val="005F2B0A"/>
    <w:rsid w:val="00600B95"/>
    <w:rsid w:val="00616599"/>
    <w:rsid w:val="00621CC0"/>
    <w:rsid w:val="00634D74"/>
    <w:rsid w:val="0064516A"/>
    <w:rsid w:val="00656FCE"/>
    <w:rsid w:val="00672348"/>
    <w:rsid w:val="00675137"/>
    <w:rsid w:val="006B6704"/>
    <w:rsid w:val="006D32BA"/>
    <w:rsid w:val="006E213E"/>
    <w:rsid w:val="006E224F"/>
    <w:rsid w:val="006F1D88"/>
    <w:rsid w:val="0070307C"/>
    <w:rsid w:val="0074239E"/>
    <w:rsid w:val="007639A2"/>
    <w:rsid w:val="00767F0F"/>
    <w:rsid w:val="00767FF8"/>
    <w:rsid w:val="00770D5E"/>
    <w:rsid w:val="0079536D"/>
    <w:rsid w:val="007971AE"/>
    <w:rsid w:val="007C6765"/>
    <w:rsid w:val="007D3C82"/>
    <w:rsid w:val="007D43AC"/>
    <w:rsid w:val="007F3519"/>
    <w:rsid w:val="007F715B"/>
    <w:rsid w:val="00820548"/>
    <w:rsid w:val="00822153"/>
    <w:rsid w:val="00836EE7"/>
    <w:rsid w:val="00851CBE"/>
    <w:rsid w:val="0088471E"/>
    <w:rsid w:val="008A4829"/>
    <w:rsid w:val="008C7E14"/>
    <w:rsid w:val="008D7E97"/>
    <w:rsid w:val="008F0842"/>
    <w:rsid w:val="009006FC"/>
    <w:rsid w:val="00902C3D"/>
    <w:rsid w:val="00904948"/>
    <w:rsid w:val="009070B4"/>
    <w:rsid w:val="00934BC3"/>
    <w:rsid w:val="009369E8"/>
    <w:rsid w:val="00937EA4"/>
    <w:rsid w:val="009405B2"/>
    <w:rsid w:val="00970669"/>
    <w:rsid w:val="00976397"/>
    <w:rsid w:val="009769E7"/>
    <w:rsid w:val="00985F88"/>
    <w:rsid w:val="00987943"/>
    <w:rsid w:val="009A6F4C"/>
    <w:rsid w:val="009B1742"/>
    <w:rsid w:val="009B18A6"/>
    <w:rsid w:val="009B7378"/>
    <w:rsid w:val="009C0338"/>
    <w:rsid w:val="009D1590"/>
    <w:rsid w:val="009F709F"/>
    <w:rsid w:val="009F78FC"/>
    <w:rsid w:val="00A04BBA"/>
    <w:rsid w:val="00A05251"/>
    <w:rsid w:val="00A065BB"/>
    <w:rsid w:val="00A1734B"/>
    <w:rsid w:val="00A2531E"/>
    <w:rsid w:val="00A30910"/>
    <w:rsid w:val="00A52F89"/>
    <w:rsid w:val="00A5331A"/>
    <w:rsid w:val="00A62287"/>
    <w:rsid w:val="00A642F1"/>
    <w:rsid w:val="00A75182"/>
    <w:rsid w:val="00A860E5"/>
    <w:rsid w:val="00A87F67"/>
    <w:rsid w:val="00A93B74"/>
    <w:rsid w:val="00AA002B"/>
    <w:rsid w:val="00AB1C83"/>
    <w:rsid w:val="00AE51BE"/>
    <w:rsid w:val="00B12D34"/>
    <w:rsid w:val="00B335BB"/>
    <w:rsid w:val="00B374C1"/>
    <w:rsid w:val="00B4729B"/>
    <w:rsid w:val="00B632A1"/>
    <w:rsid w:val="00B65468"/>
    <w:rsid w:val="00B71500"/>
    <w:rsid w:val="00B75136"/>
    <w:rsid w:val="00B769B2"/>
    <w:rsid w:val="00BA3480"/>
    <w:rsid w:val="00BC03D2"/>
    <w:rsid w:val="00BD4C0D"/>
    <w:rsid w:val="00C06684"/>
    <w:rsid w:val="00C07F8C"/>
    <w:rsid w:val="00C12ECA"/>
    <w:rsid w:val="00C136C4"/>
    <w:rsid w:val="00C149E6"/>
    <w:rsid w:val="00C17DB3"/>
    <w:rsid w:val="00C319BF"/>
    <w:rsid w:val="00C34A68"/>
    <w:rsid w:val="00C371B7"/>
    <w:rsid w:val="00C37ED6"/>
    <w:rsid w:val="00C7362F"/>
    <w:rsid w:val="00C91078"/>
    <w:rsid w:val="00CC4BEC"/>
    <w:rsid w:val="00CD18F5"/>
    <w:rsid w:val="00D035B0"/>
    <w:rsid w:val="00D132BD"/>
    <w:rsid w:val="00D24B73"/>
    <w:rsid w:val="00D376DF"/>
    <w:rsid w:val="00D627B4"/>
    <w:rsid w:val="00D63642"/>
    <w:rsid w:val="00D81BB5"/>
    <w:rsid w:val="00D902EB"/>
    <w:rsid w:val="00DF2FB3"/>
    <w:rsid w:val="00DF4CDC"/>
    <w:rsid w:val="00DF7452"/>
    <w:rsid w:val="00E263F1"/>
    <w:rsid w:val="00E426F2"/>
    <w:rsid w:val="00E439DC"/>
    <w:rsid w:val="00E70E4F"/>
    <w:rsid w:val="00E72256"/>
    <w:rsid w:val="00E81C21"/>
    <w:rsid w:val="00E96105"/>
    <w:rsid w:val="00EA2D36"/>
    <w:rsid w:val="00ED26F2"/>
    <w:rsid w:val="00EE1032"/>
    <w:rsid w:val="00EE1E97"/>
    <w:rsid w:val="00F0018C"/>
    <w:rsid w:val="00F04345"/>
    <w:rsid w:val="00F076A6"/>
    <w:rsid w:val="00F10A38"/>
    <w:rsid w:val="00F161D7"/>
    <w:rsid w:val="00F24ED8"/>
    <w:rsid w:val="00F37DC6"/>
    <w:rsid w:val="00F507DF"/>
    <w:rsid w:val="00F53E75"/>
    <w:rsid w:val="00F61B97"/>
    <w:rsid w:val="00F73445"/>
    <w:rsid w:val="00F76CB2"/>
    <w:rsid w:val="00F86CF6"/>
    <w:rsid w:val="00F956D3"/>
    <w:rsid w:val="00FA0393"/>
    <w:rsid w:val="00FA12C0"/>
    <w:rsid w:val="00FB6004"/>
    <w:rsid w:val="00FC06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8D60F"/>
  <w15:chartTrackingRefBased/>
  <w15:docId w15:val="{539CBEC6-EC35-4B2A-AED6-E5F1C7F3E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2D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2D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2D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2D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2D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2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2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2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2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2D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2D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2D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2D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2D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2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2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2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2D34"/>
    <w:rPr>
      <w:rFonts w:eastAsiaTheme="majorEastAsia" w:cstheme="majorBidi"/>
      <w:color w:val="272727" w:themeColor="text1" w:themeTint="D8"/>
    </w:rPr>
  </w:style>
  <w:style w:type="paragraph" w:styleId="Title">
    <w:name w:val="Title"/>
    <w:basedOn w:val="Normal"/>
    <w:next w:val="Normal"/>
    <w:link w:val="TitleChar"/>
    <w:uiPriority w:val="10"/>
    <w:qFormat/>
    <w:rsid w:val="00B12D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2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2D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2D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2D34"/>
    <w:pPr>
      <w:spacing w:before="160"/>
      <w:jc w:val="center"/>
    </w:pPr>
    <w:rPr>
      <w:i/>
      <w:iCs/>
      <w:color w:val="404040" w:themeColor="text1" w:themeTint="BF"/>
    </w:rPr>
  </w:style>
  <w:style w:type="character" w:customStyle="1" w:styleId="QuoteChar">
    <w:name w:val="Quote Char"/>
    <w:basedOn w:val="DefaultParagraphFont"/>
    <w:link w:val="Quote"/>
    <w:uiPriority w:val="29"/>
    <w:rsid w:val="00B12D34"/>
    <w:rPr>
      <w:i/>
      <w:iCs/>
      <w:color w:val="404040" w:themeColor="text1" w:themeTint="BF"/>
    </w:rPr>
  </w:style>
  <w:style w:type="paragraph" w:styleId="ListParagraph">
    <w:name w:val="List Paragraph"/>
    <w:basedOn w:val="Normal"/>
    <w:uiPriority w:val="34"/>
    <w:qFormat/>
    <w:rsid w:val="00B12D34"/>
    <w:pPr>
      <w:ind w:left="720"/>
      <w:contextualSpacing/>
    </w:pPr>
  </w:style>
  <w:style w:type="character" w:styleId="IntenseEmphasis">
    <w:name w:val="Intense Emphasis"/>
    <w:basedOn w:val="DefaultParagraphFont"/>
    <w:uiPriority w:val="21"/>
    <w:qFormat/>
    <w:rsid w:val="00B12D34"/>
    <w:rPr>
      <w:i/>
      <w:iCs/>
      <w:color w:val="0F4761" w:themeColor="accent1" w:themeShade="BF"/>
    </w:rPr>
  </w:style>
  <w:style w:type="paragraph" w:styleId="IntenseQuote">
    <w:name w:val="Intense Quote"/>
    <w:basedOn w:val="Normal"/>
    <w:next w:val="Normal"/>
    <w:link w:val="IntenseQuoteChar"/>
    <w:uiPriority w:val="30"/>
    <w:qFormat/>
    <w:rsid w:val="00B12D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2D34"/>
    <w:rPr>
      <w:i/>
      <w:iCs/>
      <w:color w:val="0F4761" w:themeColor="accent1" w:themeShade="BF"/>
    </w:rPr>
  </w:style>
  <w:style w:type="character" w:styleId="IntenseReference">
    <w:name w:val="Intense Reference"/>
    <w:basedOn w:val="DefaultParagraphFont"/>
    <w:uiPriority w:val="32"/>
    <w:qFormat/>
    <w:rsid w:val="00B12D34"/>
    <w:rPr>
      <w:b/>
      <w:bCs/>
      <w:smallCaps/>
      <w:color w:val="0F4761" w:themeColor="accent1" w:themeShade="BF"/>
      <w:spacing w:val="5"/>
    </w:rPr>
  </w:style>
  <w:style w:type="paragraph" w:customStyle="1" w:styleId="Normal0">
    <w:name w:val="[Normal]"/>
    <w:rsid w:val="00970669"/>
    <w:pPr>
      <w:autoSpaceDE w:val="0"/>
      <w:autoSpaceDN w:val="0"/>
      <w:adjustRightInd w:val="0"/>
      <w:spacing w:after="0" w:line="240" w:lineRule="auto"/>
    </w:pPr>
    <w:rPr>
      <w:rFonts w:ascii="Arial" w:hAnsi="Arial" w:cs="Arial"/>
      <w:kern w:val="0"/>
    </w:rPr>
  </w:style>
  <w:style w:type="character" w:styleId="CommentReference">
    <w:name w:val="annotation reference"/>
    <w:basedOn w:val="DefaultParagraphFont"/>
    <w:uiPriority w:val="99"/>
    <w:semiHidden/>
    <w:unhideWhenUsed/>
    <w:rsid w:val="0012767B"/>
    <w:rPr>
      <w:sz w:val="16"/>
      <w:szCs w:val="16"/>
    </w:rPr>
  </w:style>
  <w:style w:type="paragraph" w:styleId="CommentText">
    <w:name w:val="annotation text"/>
    <w:basedOn w:val="Normal"/>
    <w:link w:val="CommentTextChar"/>
    <w:uiPriority w:val="99"/>
    <w:unhideWhenUsed/>
    <w:rsid w:val="0012767B"/>
    <w:pPr>
      <w:spacing w:line="240" w:lineRule="auto"/>
    </w:pPr>
    <w:rPr>
      <w:sz w:val="20"/>
      <w:szCs w:val="20"/>
    </w:rPr>
  </w:style>
  <w:style w:type="character" w:customStyle="1" w:styleId="CommentTextChar">
    <w:name w:val="Comment Text Char"/>
    <w:basedOn w:val="DefaultParagraphFont"/>
    <w:link w:val="CommentText"/>
    <w:uiPriority w:val="99"/>
    <w:rsid w:val="0012767B"/>
    <w:rPr>
      <w:sz w:val="20"/>
      <w:szCs w:val="20"/>
    </w:rPr>
  </w:style>
  <w:style w:type="paragraph" w:styleId="CommentSubject">
    <w:name w:val="annotation subject"/>
    <w:basedOn w:val="CommentText"/>
    <w:next w:val="CommentText"/>
    <w:link w:val="CommentSubjectChar"/>
    <w:uiPriority w:val="99"/>
    <w:semiHidden/>
    <w:unhideWhenUsed/>
    <w:rsid w:val="0012767B"/>
    <w:rPr>
      <w:b/>
      <w:bCs/>
    </w:rPr>
  </w:style>
  <w:style w:type="character" w:customStyle="1" w:styleId="CommentSubjectChar">
    <w:name w:val="Comment Subject Char"/>
    <w:basedOn w:val="CommentTextChar"/>
    <w:link w:val="CommentSubject"/>
    <w:uiPriority w:val="99"/>
    <w:semiHidden/>
    <w:rsid w:val="0012767B"/>
    <w:rPr>
      <w:b/>
      <w:bCs/>
      <w:sz w:val="20"/>
      <w:szCs w:val="20"/>
    </w:rPr>
  </w:style>
  <w:style w:type="paragraph" w:styleId="Revision">
    <w:name w:val="Revision"/>
    <w:hidden/>
    <w:uiPriority w:val="99"/>
    <w:semiHidden/>
    <w:rsid w:val="0012767B"/>
    <w:pPr>
      <w:spacing w:after="0" w:line="240" w:lineRule="auto"/>
    </w:pPr>
  </w:style>
  <w:style w:type="paragraph" w:customStyle="1" w:styleId="Default">
    <w:name w:val="Default"/>
    <w:rsid w:val="004458F7"/>
    <w:pPr>
      <w:autoSpaceDE w:val="0"/>
      <w:autoSpaceDN w:val="0"/>
      <w:adjustRightInd w:val="0"/>
      <w:spacing w:after="0" w:line="240" w:lineRule="auto"/>
    </w:pPr>
    <w:rPr>
      <w:rFonts w:ascii="Calibri" w:hAnsi="Calibri" w:cs="Calibri"/>
      <w:color w:val="000000"/>
      <w:kern w:val="0"/>
      <w14:ligatures w14:val="none"/>
    </w:rPr>
  </w:style>
  <w:style w:type="character" w:customStyle="1" w:styleId="address">
    <w:name w:val="address"/>
    <w:basedOn w:val="DefaultParagraphFont"/>
    <w:rsid w:val="004347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9B78FD-AF5D-4246-843D-CE3587633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1885</Words>
  <Characters>10749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McMurray</dc:creator>
  <cp:keywords/>
  <dc:description/>
  <cp:lastModifiedBy>McMurray, Rachael</cp:lastModifiedBy>
  <cp:revision>3</cp:revision>
  <dcterms:created xsi:type="dcterms:W3CDTF">2026-05-11T19:33:00Z</dcterms:created>
  <dcterms:modified xsi:type="dcterms:W3CDTF">2026-05-11T19:40:00Z</dcterms:modified>
</cp:coreProperties>
</file>