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C71EB" w14:textId="77777777" w:rsidR="00D376DF" w:rsidRPr="00493D1E" w:rsidRDefault="00D376DF" w:rsidP="00D376DF">
      <w:pPr>
        <w:jc w:val="center"/>
        <w:rPr>
          <w:rFonts w:ascii="Calibri" w:hAnsi="Calibri" w:cs="Calibri"/>
          <w:b/>
          <w:sz w:val="22"/>
          <w:szCs w:val="22"/>
        </w:rPr>
      </w:pPr>
      <w:r w:rsidRPr="00493D1E">
        <w:rPr>
          <w:rFonts w:ascii="Calibri" w:hAnsi="Calibri" w:cs="Calibri"/>
          <w:b/>
          <w:sz w:val="22"/>
          <w:szCs w:val="22"/>
        </w:rPr>
        <w:t xml:space="preserve">Havant Borough Council </w:t>
      </w:r>
    </w:p>
    <w:p w14:paraId="21857C14" w14:textId="7A9BE887" w:rsidR="00D376DF" w:rsidRPr="00493D1E" w:rsidRDefault="002A25D7" w:rsidP="00D376DF">
      <w:pPr>
        <w:jc w:val="center"/>
        <w:rPr>
          <w:rFonts w:ascii="Calibri" w:hAnsi="Calibri" w:cs="Calibri"/>
          <w:b/>
          <w:sz w:val="22"/>
          <w:szCs w:val="22"/>
        </w:rPr>
      </w:pPr>
      <w:r w:rsidRPr="00493D1E">
        <w:rPr>
          <w:rFonts w:ascii="Calibri" w:hAnsi="Calibri" w:cs="Calibri"/>
          <w:b/>
          <w:noProof/>
          <w:sz w:val="22"/>
          <w:szCs w:val="22"/>
        </w:rPr>
        <mc:AlternateContent>
          <mc:Choice Requires="wps">
            <w:drawing>
              <wp:anchor distT="45720" distB="45720" distL="114300" distR="114300" simplePos="0" relativeHeight="251661312" behindDoc="0" locked="0" layoutInCell="1" allowOverlap="1" wp14:anchorId="6CBFD64C" wp14:editId="26717C16">
                <wp:simplePos x="0" y="0"/>
                <wp:positionH relativeFrom="column">
                  <wp:posOffset>7620</wp:posOffset>
                </wp:positionH>
                <wp:positionV relativeFrom="paragraph">
                  <wp:posOffset>264795</wp:posOffset>
                </wp:positionV>
                <wp:extent cx="5775960" cy="2179320"/>
                <wp:effectExtent l="0" t="0" r="1524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2179320"/>
                        </a:xfrm>
                        <a:prstGeom prst="rect">
                          <a:avLst/>
                        </a:prstGeom>
                        <a:solidFill>
                          <a:schemeClr val="accent1">
                            <a:lumMod val="20000"/>
                            <a:lumOff val="80000"/>
                          </a:schemeClr>
                        </a:solidFill>
                        <a:ln w="9525">
                          <a:solidFill>
                            <a:srgbClr val="000000"/>
                          </a:solidFill>
                          <a:miter lim="800000"/>
                          <a:headEnd/>
                          <a:tailEnd/>
                        </a:ln>
                      </wps:spPr>
                      <wps:txbx>
                        <w:txbxContent>
                          <w:p w14:paraId="7546DDFA" w14:textId="581F38B9"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Date –</w:t>
                            </w:r>
                            <w:r w:rsidR="005A249C" w:rsidRPr="005A249C">
                              <w:rPr>
                                <w:rFonts w:ascii="Calibri" w:hAnsi="Calibri" w:cs="Calibri"/>
                                <w:bCs/>
                                <w:sz w:val="22"/>
                                <w:szCs w:val="22"/>
                              </w:rPr>
                              <w:t>6/7</w:t>
                            </w:r>
                            <w:r w:rsidR="00937EA4" w:rsidRPr="005A249C">
                              <w:rPr>
                                <w:rFonts w:ascii="Calibri" w:hAnsi="Calibri" w:cs="Calibri"/>
                                <w:bCs/>
                                <w:sz w:val="22"/>
                                <w:szCs w:val="22"/>
                              </w:rPr>
                              <w:t>/202</w:t>
                            </w:r>
                            <w:r w:rsidR="00FD3022" w:rsidRPr="005A249C">
                              <w:rPr>
                                <w:rFonts w:ascii="Calibri" w:hAnsi="Calibri" w:cs="Calibri"/>
                                <w:bCs/>
                                <w:sz w:val="22"/>
                                <w:szCs w:val="22"/>
                              </w:rPr>
                              <w:t>6</w:t>
                            </w:r>
                          </w:p>
                          <w:p w14:paraId="3ABEBC21" w14:textId="77777777" w:rsidR="002A25D7" w:rsidRPr="005A249C" w:rsidRDefault="002A25D7" w:rsidP="002A25D7">
                            <w:pPr>
                              <w:jc w:val="both"/>
                              <w:rPr>
                                <w:rFonts w:ascii="Calibri" w:hAnsi="Calibri" w:cs="Calibri"/>
                                <w:bCs/>
                                <w:sz w:val="22"/>
                                <w:szCs w:val="22"/>
                              </w:rPr>
                            </w:pPr>
                            <w:r w:rsidRPr="00493D1E">
                              <w:rPr>
                                <w:rFonts w:ascii="Calibri" w:hAnsi="Calibri" w:cs="Calibri"/>
                                <w:b/>
                                <w:sz w:val="22"/>
                                <w:szCs w:val="22"/>
                              </w:rPr>
                              <w:t xml:space="preserve">Officer – </w:t>
                            </w:r>
                            <w:r w:rsidRPr="005A249C">
                              <w:rPr>
                                <w:rFonts w:ascii="Calibri" w:hAnsi="Calibri" w:cs="Calibri"/>
                                <w:bCs/>
                                <w:sz w:val="22"/>
                                <w:szCs w:val="22"/>
                              </w:rPr>
                              <w:t xml:space="preserve">Rachael McMurray, Principal Heritage Officer </w:t>
                            </w:r>
                          </w:p>
                          <w:p w14:paraId="4243FEA7" w14:textId="7540362F"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Application – </w:t>
                            </w:r>
                            <w:r w:rsidRPr="005A249C">
                              <w:rPr>
                                <w:rFonts w:ascii="Calibri" w:hAnsi="Calibri" w:cs="Calibri"/>
                                <w:bCs/>
                                <w:sz w:val="22"/>
                                <w:szCs w:val="22"/>
                              </w:rPr>
                              <w:t>APP/2</w:t>
                            </w:r>
                            <w:r w:rsidR="00FD3022" w:rsidRPr="005A249C">
                              <w:rPr>
                                <w:rFonts w:ascii="Calibri" w:hAnsi="Calibri" w:cs="Calibri"/>
                                <w:bCs/>
                                <w:sz w:val="22"/>
                                <w:szCs w:val="22"/>
                              </w:rPr>
                              <w:t>6</w:t>
                            </w:r>
                            <w:r w:rsidRPr="005A249C">
                              <w:rPr>
                                <w:rFonts w:ascii="Calibri" w:hAnsi="Calibri" w:cs="Calibri"/>
                                <w:bCs/>
                                <w:sz w:val="22"/>
                                <w:szCs w:val="22"/>
                              </w:rPr>
                              <w:t>/</w:t>
                            </w:r>
                            <w:r w:rsidR="00B335BB" w:rsidRPr="005A249C">
                              <w:rPr>
                                <w:rFonts w:ascii="Calibri" w:hAnsi="Calibri" w:cs="Calibri"/>
                                <w:bCs/>
                                <w:sz w:val="22"/>
                                <w:szCs w:val="22"/>
                              </w:rPr>
                              <w:t>0</w:t>
                            </w:r>
                            <w:r w:rsidR="005E535E" w:rsidRPr="005A249C">
                              <w:rPr>
                                <w:rFonts w:ascii="Calibri" w:hAnsi="Calibri" w:cs="Calibri"/>
                                <w:bCs/>
                                <w:sz w:val="22"/>
                                <w:szCs w:val="22"/>
                              </w:rPr>
                              <w:t>0</w:t>
                            </w:r>
                            <w:r w:rsidR="00FC6093" w:rsidRPr="005A249C">
                              <w:rPr>
                                <w:rFonts w:ascii="Calibri" w:hAnsi="Calibri" w:cs="Calibri"/>
                                <w:bCs/>
                                <w:sz w:val="22"/>
                                <w:szCs w:val="22"/>
                              </w:rPr>
                              <w:t>1</w:t>
                            </w:r>
                            <w:r w:rsidR="005A249C" w:rsidRPr="005A249C">
                              <w:rPr>
                                <w:rFonts w:ascii="Calibri" w:hAnsi="Calibri" w:cs="Calibri"/>
                                <w:bCs/>
                                <w:sz w:val="22"/>
                                <w:szCs w:val="22"/>
                              </w:rPr>
                              <w:t>82</w:t>
                            </w:r>
                          </w:p>
                          <w:p w14:paraId="458D1D24" w14:textId="10592D7E" w:rsidR="002A25D7" w:rsidRPr="005A249C"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195CB1">
                              <w:rPr>
                                <w:rFonts w:ascii="Calibri" w:hAnsi="Calibri" w:cs="Calibri"/>
                                <w:b/>
                                <w:sz w:val="22"/>
                                <w:szCs w:val="22"/>
                              </w:rPr>
                              <w:t xml:space="preserve"> </w:t>
                            </w:r>
                            <w:r w:rsidR="005A249C" w:rsidRPr="005A249C">
                              <w:rPr>
                                <w:rFonts w:ascii="Calibri" w:hAnsi="Calibri" w:cs="Calibri"/>
                                <w:bCs/>
                                <w:sz w:val="22"/>
                                <w:szCs w:val="22"/>
                              </w:rPr>
                              <w:t>86 Bedhampton Road, Havant, PO9 3EZ</w:t>
                            </w:r>
                            <w:r w:rsidR="00B335BB">
                              <w:rPr>
                                <w:rFonts w:ascii="DM Sans" w:hAnsi="DM Sans"/>
                                <w:color w:val="000000"/>
                                <w:shd w:val="clear" w:color="auto" w:fill="FFFFFF"/>
                              </w:rPr>
                              <w:t xml:space="preserve"> </w:t>
                            </w:r>
                          </w:p>
                          <w:p w14:paraId="122D52D5" w14:textId="526B56F6" w:rsidR="00181232" w:rsidRPr="004377FB" w:rsidRDefault="00970669" w:rsidP="00181232">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p>
                          <w:p w14:paraId="0EA5734F" w14:textId="77777777" w:rsidR="00032BAD" w:rsidRPr="004377FB" w:rsidRDefault="00032BAD" w:rsidP="00181232">
                            <w:pPr>
                              <w:pStyle w:val="Normal0"/>
                              <w:rPr>
                                <w:rFonts w:ascii="Calibri" w:hAnsi="Calibri" w:cs="Calibri"/>
                                <w:b/>
                                <w:sz w:val="22"/>
                                <w:szCs w:val="22"/>
                              </w:rPr>
                            </w:pPr>
                          </w:p>
                          <w:p w14:paraId="4267157B" w14:textId="33D44FF0" w:rsidR="00032BAD" w:rsidRPr="004377FB" w:rsidRDefault="005A249C" w:rsidP="00B335BB">
                            <w:pPr>
                              <w:pStyle w:val="Normal0"/>
                              <w:rPr>
                                <w:rFonts w:ascii="Calibri" w:hAnsi="Calibri" w:cs="Calibri"/>
                                <w:sz w:val="22"/>
                                <w:szCs w:val="22"/>
                              </w:rPr>
                            </w:pPr>
                            <w:r w:rsidRPr="005A249C">
                              <w:rPr>
                                <w:rFonts w:ascii="Calibri" w:hAnsi="Calibri" w:cs="Calibri"/>
                                <w:sz w:val="22"/>
                                <w:szCs w:val="22"/>
                              </w:rPr>
                              <w:t>Two storey and single storey rear extension to accommodate 2No. flats on first floor and extension to existing commercial space at ground floor. Erection of two storey dwelling to rear of site with associated parking, refuse and cycle storage.</w:t>
                            </w: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FD64C" id="_x0000_t202" coordsize="21600,21600" o:spt="202" path="m,l,21600r21600,l21600,xe">
                <v:stroke joinstyle="miter"/>
                <v:path gradientshapeok="t" o:connecttype="rect"/>
              </v:shapetype>
              <v:shape id="Text Box 2" o:spid="_x0000_s1026" type="#_x0000_t202" style="position:absolute;left:0;text-align:left;margin-left:.6pt;margin-top:20.85pt;width:454.8pt;height:171.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MWLNAIAAF4EAAAOAAAAZHJzL2Uyb0RvYy54bWysVNtu2zAMfR+wfxD0vjjJkqYx4hRdug4D&#10;ugvQ7QNoWY6FSaInKbG7rx8lO2m6vQ17ESRSOiTPIbW56Y1mR+m8Qlvw2WTKmbQCK2X3Bf/+7f7N&#10;NWc+gK1Ao5UFf5Ke32xfv9p0bS7n2KCupGMEYn3etQVvQmjzLPOikQb8BFtpyVmjMxDo6PZZ5aAj&#10;dKOz+XR6lXXoqtahkN6T9W5w8m3Cr2spwpe69jIwXXDKLaTVpbWMa7bdQL530DZKjGnAP2RhQFkK&#10;eoa6gwDs4NRfUEYJhx7rMBFoMqxrJWSqgaqZTf+o5rGBVqZaiBzfnmny/w9WfD4+tl8dC/077EnA&#10;VIRvH1D88MzirgG7l7fOYddIqCjwLFKWda3Px6eRap/7CFJ2n7AikeEQMAH1tTORFaqTEToJ8HQm&#10;XfaBCTIuV6vl+opcgnzz2Wr9dp5kySA/PW+dDx8kGhY3BXekaoKH44MPMR3IT1diNI9aVfdK63SI&#10;nSR32rEjUA+AENKGoUx9MJTvYKdemo7dQGbqmcF8fTJTiNSTESkFfBFEW9YVfL2cLwf+XiTg9uU5&#10;fIQb4kTAy2tGBRoErUzBU9Axmcj6e1ulNg2g9LCnx9qOMkTmBw1CX/Z0McpRYvVEgjgcGp4GlDYN&#10;ul+cddTsBfc/D+AkZ/qjJVHXs8UiTkc6LJYrUoC5S0956QErCKrggbNhuwtpoiLdFm9J/FolWZ4z&#10;GXOlJk7kjQMXp+TynG49fwvb3wAAAP//AwBQSwMEFAAGAAgAAAAhALUzuezeAAAACAEAAA8AAABk&#10;cnMvZG93bnJldi54bWxMj8FOwzAQRO9I/IO1SNyok7aibRqnQkipuCAg4dKbG2+TCHsdxW4b/p7l&#10;BMfRjGbe5LvJWXHBMfSeFKSzBARS401PrYLPunxYgwhRk9HWEyr4xgC74vYm15nxV/rASxVbwSUU&#10;Mq2gi3HIpAxNh06HmR+Q2Dv50enIcmylGfWVy52V8yR5lE73xAudHvC5w+arOjsF+/fy1S8O1cqG&#10;PcW2HOq300ut1P3d9LQFEXGKf2H4xWd0KJjp6M9kgrCs5xxUsExXINjepAk/OSpYrJcbkEUu/x8o&#10;fgAAAP//AwBQSwECLQAUAAYACAAAACEAtoM4kv4AAADhAQAAEwAAAAAAAAAAAAAAAAAAAAAAW0Nv&#10;bnRlbnRfVHlwZXNdLnhtbFBLAQItABQABgAIAAAAIQA4/SH/1gAAAJQBAAALAAAAAAAAAAAAAAAA&#10;AC8BAABfcmVscy8ucmVsc1BLAQItABQABgAIAAAAIQD5sMWLNAIAAF4EAAAOAAAAAAAAAAAAAAAA&#10;AC4CAABkcnMvZTJvRG9jLnhtbFBLAQItABQABgAIAAAAIQC1M7ns3gAAAAgBAAAPAAAAAAAAAAAA&#10;AAAAAI4EAABkcnMvZG93bnJldi54bWxQSwUGAAAAAAQABADzAAAAmQUAAAAA&#10;" fillcolor="#c1e4f5 [660]">
                <v:textbox>
                  <w:txbxContent>
                    <w:p w14:paraId="7546DDFA" w14:textId="581F38B9"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Date –</w:t>
                      </w:r>
                      <w:r w:rsidR="005A249C" w:rsidRPr="005A249C">
                        <w:rPr>
                          <w:rFonts w:ascii="Calibri" w:hAnsi="Calibri" w:cs="Calibri"/>
                          <w:bCs/>
                          <w:sz w:val="22"/>
                          <w:szCs w:val="22"/>
                        </w:rPr>
                        <w:t>6/7</w:t>
                      </w:r>
                      <w:r w:rsidR="00937EA4" w:rsidRPr="005A249C">
                        <w:rPr>
                          <w:rFonts w:ascii="Calibri" w:hAnsi="Calibri" w:cs="Calibri"/>
                          <w:bCs/>
                          <w:sz w:val="22"/>
                          <w:szCs w:val="22"/>
                        </w:rPr>
                        <w:t>/202</w:t>
                      </w:r>
                      <w:r w:rsidR="00FD3022" w:rsidRPr="005A249C">
                        <w:rPr>
                          <w:rFonts w:ascii="Calibri" w:hAnsi="Calibri" w:cs="Calibri"/>
                          <w:bCs/>
                          <w:sz w:val="22"/>
                          <w:szCs w:val="22"/>
                        </w:rPr>
                        <w:t>6</w:t>
                      </w:r>
                    </w:p>
                    <w:p w14:paraId="3ABEBC21" w14:textId="77777777" w:rsidR="002A25D7" w:rsidRPr="005A249C" w:rsidRDefault="002A25D7" w:rsidP="002A25D7">
                      <w:pPr>
                        <w:jc w:val="both"/>
                        <w:rPr>
                          <w:rFonts w:ascii="Calibri" w:hAnsi="Calibri" w:cs="Calibri"/>
                          <w:bCs/>
                          <w:sz w:val="22"/>
                          <w:szCs w:val="22"/>
                        </w:rPr>
                      </w:pPr>
                      <w:r w:rsidRPr="00493D1E">
                        <w:rPr>
                          <w:rFonts w:ascii="Calibri" w:hAnsi="Calibri" w:cs="Calibri"/>
                          <w:b/>
                          <w:sz w:val="22"/>
                          <w:szCs w:val="22"/>
                        </w:rPr>
                        <w:t xml:space="preserve">Officer – </w:t>
                      </w:r>
                      <w:r w:rsidRPr="005A249C">
                        <w:rPr>
                          <w:rFonts w:ascii="Calibri" w:hAnsi="Calibri" w:cs="Calibri"/>
                          <w:bCs/>
                          <w:sz w:val="22"/>
                          <w:szCs w:val="22"/>
                        </w:rPr>
                        <w:t xml:space="preserve">Rachael McMurray, Principal Heritage Officer </w:t>
                      </w:r>
                    </w:p>
                    <w:p w14:paraId="4243FEA7" w14:textId="7540362F"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Application – </w:t>
                      </w:r>
                      <w:r w:rsidRPr="005A249C">
                        <w:rPr>
                          <w:rFonts w:ascii="Calibri" w:hAnsi="Calibri" w:cs="Calibri"/>
                          <w:bCs/>
                          <w:sz w:val="22"/>
                          <w:szCs w:val="22"/>
                        </w:rPr>
                        <w:t>APP/2</w:t>
                      </w:r>
                      <w:r w:rsidR="00FD3022" w:rsidRPr="005A249C">
                        <w:rPr>
                          <w:rFonts w:ascii="Calibri" w:hAnsi="Calibri" w:cs="Calibri"/>
                          <w:bCs/>
                          <w:sz w:val="22"/>
                          <w:szCs w:val="22"/>
                        </w:rPr>
                        <w:t>6</w:t>
                      </w:r>
                      <w:r w:rsidRPr="005A249C">
                        <w:rPr>
                          <w:rFonts w:ascii="Calibri" w:hAnsi="Calibri" w:cs="Calibri"/>
                          <w:bCs/>
                          <w:sz w:val="22"/>
                          <w:szCs w:val="22"/>
                        </w:rPr>
                        <w:t>/</w:t>
                      </w:r>
                      <w:r w:rsidR="00B335BB" w:rsidRPr="005A249C">
                        <w:rPr>
                          <w:rFonts w:ascii="Calibri" w:hAnsi="Calibri" w:cs="Calibri"/>
                          <w:bCs/>
                          <w:sz w:val="22"/>
                          <w:szCs w:val="22"/>
                        </w:rPr>
                        <w:t>0</w:t>
                      </w:r>
                      <w:r w:rsidR="005E535E" w:rsidRPr="005A249C">
                        <w:rPr>
                          <w:rFonts w:ascii="Calibri" w:hAnsi="Calibri" w:cs="Calibri"/>
                          <w:bCs/>
                          <w:sz w:val="22"/>
                          <w:szCs w:val="22"/>
                        </w:rPr>
                        <w:t>0</w:t>
                      </w:r>
                      <w:r w:rsidR="00FC6093" w:rsidRPr="005A249C">
                        <w:rPr>
                          <w:rFonts w:ascii="Calibri" w:hAnsi="Calibri" w:cs="Calibri"/>
                          <w:bCs/>
                          <w:sz w:val="22"/>
                          <w:szCs w:val="22"/>
                        </w:rPr>
                        <w:t>1</w:t>
                      </w:r>
                      <w:r w:rsidR="005A249C" w:rsidRPr="005A249C">
                        <w:rPr>
                          <w:rFonts w:ascii="Calibri" w:hAnsi="Calibri" w:cs="Calibri"/>
                          <w:bCs/>
                          <w:sz w:val="22"/>
                          <w:szCs w:val="22"/>
                        </w:rPr>
                        <w:t>82</w:t>
                      </w:r>
                    </w:p>
                    <w:p w14:paraId="458D1D24" w14:textId="10592D7E" w:rsidR="002A25D7" w:rsidRPr="005A249C"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195CB1">
                        <w:rPr>
                          <w:rFonts w:ascii="Calibri" w:hAnsi="Calibri" w:cs="Calibri"/>
                          <w:b/>
                          <w:sz w:val="22"/>
                          <w:szCs w:val="22"/>
                        </w:rPr>
                        <w:t xml:space="preserve"> </w:t>
                      </w:r>
                      <w:r w:rsidR="005A249C" w:rsidRPr="005A249C">
                        <w:rPr>
                          <w:rFonts w:ascii="Calibri" w:hAnsi="Calibri" w:cs="Calibri"/>
                          <w:bCs/>
                          <w:sz w:val="22"/>
                          <w:szCs w:val="22"/>
                        </w:rPr>
                        <w:t>86 Bedhampton Road, Havant, PO9 3EZ</w:t>
                      </w:r>
                      <w:r w:rsidR="00B335BB">
                        <w:rPr>
                          <w:rFonts w:ascii="DM Sans" w:hAnsi="DM Sans"/>
                          <w:color w:val="000000"/>
                          <w:shd w:val="clear" w:color="auto" w:fill="FFFFFF"/>
                        </w:rPr>
                        <w:t xml:space="preserve"> </w:t>
                      </w:r>
                    </w:p>
                    <w:p w14:paraId="122D52D5" w14:textId="526B56F6" w:rsidR="00181232" w:rsidRPr="004377FB" w:rsidRDefault="00970669" w:rsidP="00181232">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p>
                    <w:p w14:paraId="0EA5734F" w14:textId="77777777" w:rsidR="00032BAD" w:rsidRPr="004377FB" w:rsidRDefault="00032BAD" w:rsidP="00181232">
                      <w:pPr>
                        <w:pStyle w:val="Normal0"/>
                        <w:rPr>
                          <w:rFonts w:ascii="Calibri" w:hAnsi="Calibri" w:cs="Calibri"/>
                          <w:b/>
                          <w:sz w:val="22"/>
                          <w:szCs w:val="22"/>
                        </w:rPr>
                      </w:pPr>
                    </w:p>
                    <w:p w14:paraId="4267157B" w14:textId="33D44FF0" w:rsidR="00032BAD" w:rsidRPr="004377FB" w:rsidRDefault="005A249C" w:rsidP="00B335BB">
                      <w:pPr>
                        <w:pStyle w:val="Normal0"/>
                        <w:rPr>
                          <w:rFonts w:ascii="Calibri" w:hAnsi="Calibri" w:cs="Calibri"/>
                          <w:sz w:val="22"/>
                          <w:szCs w:val="22"/>
                        </w:rPr>
                      </w:pPr>
                      <w:r w:rsidRPr="005A249C">
                        <w:rPr>
                          <w:rFonts w:ascii="Calibri" w:hAnsi="Calibri" w:cs="Calibri"/>
                          <w:sz w:val="22"/>
                          <w:szCs w:val="22"/>
                        </w:rPr>
                        <w:t>Two storey and single storey rear extension to accommodate 2No. flats on first floor and extension to existing commercial space at ground floor. Erection of two storey dwelling to rear of site with associated parking, refuse and cycle storage.</w:t>
                      </w: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v:textbox>
                <w10:wrap type="square"/>
              </v:shape>
            </w:pict>
          </mc:Fallback>
        </mc:AlternateContent>
      </w:r>
      <w:r w:rsidR="00CD18F5" w:rsidRPr="00493D1E">
        <w:rPr>
          <w:rFonts w:ascii="Calibri" w:hAnsi="Calibri" w:cs="Calibri"/>
          <w:b/>
          <w:sz w:val="22"/>
          <w:szCs w:val="22"/>
        </w:rPr>
        <w:t>Heritage Consultation Response</w:t>
      </w:r>
    </w:p>
    <w:p w14:paraId="6F8BE53F" w14:textId="65B406A5" w:rsidR="00B12D34" w:rsidRPr="00493D1E"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Legislation</w:t>
      </w:r>
      <w:r w:rsidRPr="00493D1E">
        <w:rPr>
          <w:rFonts w:ascii="Calibri" w:hAnsi="Calibri" w:cs="Calibri"/>
          <w:b/>
          <w:bCs/>
          <w:sz w:val="22"/>
          <w:szCs w:val="22"/>
        </w:rPr>
        <w:t xml:space="preserve"> </w:t>
      </w:r>
    </w:p>
    <w:p w14:paraId="00FB9ADB"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When assessing the proposal, the following legislation and policy context is taken in consideration. </w:t>
      </w:r>
    </w:p>
    <w:p w14:paraId="504502B0" w14:textId="7FBB28E0" w:rsidR="002A25D7" w:rsidRDefault="009F709F" w:rsidP="002A25D7">
      <w:pPr>
        <w:jc w:val="both"/>
        <w:rPr>
          <w:rFonts w:ascii="Calibri" w:hAnsi="Calibri" w:cs="Calibri"/>
          <w:b/>
          <w:bCs/>
          <w:sz w:val="22"/>
          <w:szCs w:val="22"/>
          <w:u w:val="single"/>
        </w:rPr>
      </w:pPr>
      <w:r>
        <w:rPr>
          <w:rFonts w:ascii="Calibri" w:hAnsi="Calibri" w:cs="Calibri"/>
          <w:b/>
          <w:bCs/>
          <w:sz w:val="22"/>
          <w:szCs w:val="22"/>
          <w:u w:val="single"/>
        </w:rPr>
        <w:t>Planning (</w:t>
      </w:r>
      <w:r w:rsidR="002A25D7" w:rsidRPr="00493D1E">
        <w:rPr>
          <w:rFonts w:ascii="Calibri" w:hAnsi="Calibri" w:cs="Calibri"/>
          <w:b/>
          <w:bCs/>
          <w:sz w:val="22"/>
          <w:szCs w:val="22"/>
          <w:u w:val="single"/>
        </w:rPr>
        <w:t>Listed Building and Conservation Areas) Act 1990</w:t>
      </w:r>
    </w:p>
    <w:p w14:paraId="4F708100" w14:textId="6D5670F2" w:rsidR="002A25D7" w:rsidRPr="007A1F9B" w:rsidRDefault="002A25D7" w:rsidP="002A25D7">
      <w:pPr>
        <w:jc w:val="both"/>
        <w:rPr>
          <w:rFonts w:ascii="Calibri" w:hAnsi="Calibri" w:cs="Calibri"/>
          <w:sz w:val="22"/>
          <w:szCs w:val="22"/>
        </w:rPr>
      </w:pPr>
      <w:r w:rsidRPr="007A1F9B">
        <w:rPr>
          <w:rFonts w:ascii="Calibri" w:hAnsi="Calibri" w:cs="Calibri"/>
          <w:sz w:val="22"/>
          <w:szCs w:val="22"/>
        </w:rPr>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17DD080F" w14:textId="7FB5A05E" w:rsidR="002A25D7" w:rsidRPr="00493D1E" w:rsidRDefault="002A25D7" w:rsidP="002A25D7">
      <w:pPr>
        <w:jc w:val="both"/>
        <w:rPr>
          <w:rFonts w:ascii="Calibri" w:hAnsi="Calibri" w:cs="Calibri"/>
          <w:b/>
          <w:bCs/>
          <w:sz w:val="22"/>
          <w:szCs w:val="22"/>
          <w:u w:val="single"/>
        </w:rPr>
      </w:pPr>
      <w:r w:rsidRPr="00493D1E">
        <w:rPr>
          <w:rFonts w:ascii="Calibri" w:hAnsi="Calibri" w:cs="Calibri"/>
          <w:b/>
          <w:bCs/>
          <w:sz w:val="22"/>
          <w:szCs w:val="22"/>
          <w:u w:val="single"/>
        </w:rPr>
        <w:t xml:space="preserve">National Planning Policy Framework </w:t>
      </w:r>
      <w:r w:rsidR="00B374C1" w:rsidRPr="00493D1E">
        <w:rPr>
          <w:rFonts w:ascii="Calibri" w:hAnsi="Calibri" w:cs="Calibri"/>
          <w:b/>
          <w:bCs/>
          <w:sz w:val="22"/>
          <w:szCs w:val="22"/>
          <w:u w:val="single"/>
        </w:rPr>
        <w:t>(revised</w:t>
      </w:r>
      <w:r w:rsidRPr="00493D1E">
        <w:rPr>
          <w:rFonts w:ascii="Calibri" w:hAnsi="Calibri" w:cs="Calibri"/>
          <w:b/>
          <w:bCs/>
          <w:sz w:val="22"/>
          <w:szCs w:val="22"/>
          <w:u w:val="single"/>
        </w:rPr>
        <w:t xml:space="preserve"> </w:t>
      </w:r>
      <w:r w:rsidR="00FA12C0">
        <w:rPr>
          <w:rFonts w:ascii="Calibri" w:hAnsi="Calibri" w:cs="Calibri"/>
          <w:b/>
          <w:bCs/>
          <w:sz w:val="22"/>
          <w:szCs w:val="22"/>
          <w:u w:val="single"/>
        </w:rPr>
        <w:t>December</w:t>
      </w:r>
      <w:r w:rsidRPr="00493D1E">
        <w:rPr>
          <w:rFonts w:ascii="Calibri" w:hAnsi="Calibri" w:cs="Calibri"/>
          <w:b/>
          <w:bCs/>
          <w:sz w:val="22"/>
          <w:szCs w:val="22"/>
          <w:u w:val="single"/>
        </w:rPr>
        <w:t xml:space="preserve"> 202</w:t>
      </w:r>
      <w:r w:rsidR="00FA12C0">
        <w:rPr>
          <w:rFonts w:ascii="Calibri" w:hAnsi="Calibri" w:cs="Calibri"/>
          <w:b/>
          <w:bCs/>
          <w:sz w:val="22"/>
          <w:szCs w:val="22"/>
          <w:u w:val="single"/>
        </w:rPr>
        <w:t>4</w:t>
      </w:r>
      <w:r w:rsidRPr="00493D1E">
        <w:rPr>
          <w:rFonts w:ascii="Calibri" w:hAnsi="Calibri" w:cs="Calibri"/>
          <w:b/>
          <w:bCs/>
          <w:sz w:val="22"/>
          <w:szCs w:val="22"/>
          <w:u w:val="single"/>
        </w:rPr>
        <w:t>)</w:t>
      </w:r>
    </w:p>
    <w:p w14:paraId="28E5C253" w14:textId="5DB08542" w:rsidR="00040242" w:rsidRDefault="002A25D7" w:rsidP="002A25D7">
      <w:pPr>
        <w:jc w:val="both"/>
        <w:rPr>
          <w:rFonts w:ascii="Calibri" w:hAnsi="Calibri" w:cs="Calibri"/>
          <w:sz w:val="22"/>
          <w:szCs w:val="22"/>
        </w:rPr>
      </w:pPr>
      <w:r w:rsidRPr="00493D1E">
        <w:rPr>
          <w:rFonts w:ascii="Calibri" w:hAnsi="Calibri" w:cs="Calibri"/>
          <w:sz w:val="22"/>
          <w:szCs w:val="22"/>
        </w:rPr>
        <w:t xml:space="preserve">Chapter 16 of the NPPF relates to </w:t>
      </w:r>
      <w:r w:rsidRPr="007211BB">
        <w:rPr>
          <w:rFonts w:ascii="Calibri" w:hAnsi="Calibri" w:cs="Calibri"/>
          <w:sz w:val="22"/>
          <w:szCs w:val="22"/>
        </w:rPr>
        <w:t>the Historic Environment</w:t>
      </w:r>
      <w:r w:rsidRPr="00493D1E">
        <w:rPr>
          <w:rFonts w:ascii="Calibri" w:hAnsi="Calibri" w:cs="Calibri"/>
          <w:sz w:val="22"/>
          <w:szCs w:val="22"/>
        </w:rPr>
        <w:t xml:space="preserve"> including paragraphs </w:t>
      </w:r>
      <w:r w:rsidR="007F3519">
        <w:rPr>
          <w:rFonts w:ascii="Calibri" w:hAnsi="Calibri" w:cs="Calibri"/>
          <w:sz w:val="22"/>
          <w:szCs w:val="22"/>
        </w:rPr>
        <w:t>202-221</w:t>
      </w:r>
      <w:r w:rsidRPr="00493D1E">
        <w:rPr>
          <w:rFonts w:ascii="Calibri" w:hAnsi="Calibri" w:cs="Calibri"/>
          <w:sz w:val="22"/>
          <w:szCs w:val="22"/>
        </w:rPr>
        <w:t xml:space="preserve">. </w:t>
      </w:r>
      <w:r w:rsidR="00040242">
        <w:rPr>
          <w:rFonts w:ascii="Calibri" w:hAnsi="Calibri" w:cs="Calibri"/>
          <w:sz w:val="22"/>
          <w:szCs w:val="22"/>
        </w:rPr>
        <w:t xml:space="preserve">The following are most relevant: </w:t>
      </w:r>
    </w:p>
    <w:p w14:paraId="2DCC8E94" w14:textId="2486C394" w:rsidR="00B374C1" w:rsidRPr="00493D1E" w:rsidRDefault="00B374C1" w:rsidP="00B12D34">
      <w:pPr>
        <w:jc w:val="both"/>
        <w:rPr>
          <w:rFonts w:ascii="Calibri" w:hAnsi="Calibri" w:cs="Calibri"/>
          <w:b/>
          <w:bCs/>
          <w:sz w:val="22"/>
          <w:szCs w:val="22"/>
          <w:u w:val="single"/>
        </w:rPr>
      </w:pPr>
      <w:r w:rsidRPr="00493D1E">
        <w:rPr>
          <w:rFonts w:ascii="Calibri" w:hAnsi="Calibri" w:cs="Calibri"/>
          <w:b/>
          <w:bCs/>
          <w:sz w:val="22"/>
          <w:szCs w:val="22"/>
          <w:u w:val="single"/>
        </w:rPr>
        <w:t>Havant Borough Local Plan (Core Strategy 2011 and Allocations Plan 2014)</w:t>
      </w:r>
    </w:p>
    <w:p w14:paraId="198AAFE1" w14:textId="51BABED4" w:rsidR="00B374C1" w:rsidRPr="007211BB" w:rsidRDefault="00B374C1" w:rsidP="00B12D34">
      <w:pPr>
        <w:jc w:val="both"/>
        <w:rPr>
          <w:rFonts w:ascii="Calibri" w:hAnsi="Calibri" w:cs="Calibri"/>
          <w:sz w:val="22"/>
          <w:szCs w:val="22"/>
        </w:rPr>
      </w:pPr>
      <w:r w:rsidRPr="007211BB">
        <w:rPr>
          <w:rFonts w:ascii="Calibri" w:hAnsi="Calibri" w:cs="Calibri"/>
          <w:sz w:val="22"/>
          <w:szCs w:val="22"/>
        </w:rPr>
        <w:t xml:space="preserve">Policy CS11 </w:t>
      </w:r>
      <w:r w:rsidR="002F6E50" w:rsidRPr="007211BB">
        <w:rPr>
          <w:rFonts w:ascii="Calibri" w:hAnsi="Calibri" w:cs="Calibri"/>
          <w:sz w:val="22"/>
          <w:szCs w:val="22"/>
        </w:rPr>
        <w:t>–</w:t>
      </w:r>
      <w:r w:rsidRPr="007211BB">
        <w:rPr>
          <w:rFonts w:ascii="Calibri" w:hAnsi="Calibri" w:cs="Calibri"/>
          <w:sz w:val="22"/>
          <w:szCs w:val="22"/>
        </w:rPr>
        <w:t xml:space="preserve"> </w:t>
      </w:r>
      <w:r w:rsidR="002F6E50" w:rsidRPr="007211BB">
        <w:rPr>
          <w:rFonts w:ascii="Calibri" w:hAnsi="Calibri" w:cs="Calibri"/>
          <w:sz w:val="22"/>
          <w:szCs w:val="22"/>
        </w:rPr>
        <w:t>Protecting and Enhancing the Special Environment and Heritage of the Havant Borough</w:t>
      </w:r>
    </w:p>
    <w:p w14:paraId="640D0AA1" w14:textId="475EAA5A" w:rsidR="002F6E50" w:rsidRPr="007211BB" w:rsidRDefault="002F6E50" w:rsidP="00B374C1">
      <w:pPr>
        <w:jc w:val="both"/>
        <w:rPr>
          <w:rFonts w:ascii="Calibri" w:hAnsi="Calibri" w:cs="Calibri"/>
          <w:sz w:val="22"/>
          <w:szCs w:val="22"/>
        </w:rPr>
      </w:pPr>
      <w:r w:rsidRPr="007211BB">
        <w:rPr>
          <w:rFonts w:ascii="Calibri" w:hAnsi="Calibri" w:cs="Calibri"/>
          <w:sz w:val="22"/>
          <w:szCs w:val="22"/>
        </w:rPr>
        <w:t xml:space="preserve">Policy CS16 – High Quality Design </w:t>
      </w:r>
    </w:p>
    <w:p w14:paraId="7A6F54BD" w14:textId="404A7A77" w:rsidR="00A75182" w:rsidRPr="007211BB" w:rsidRDefault="00A75182" w:rsidP="00B374C1">
      <w:pPr>
        <w:jc w:val="both"/>
        <w:rPr>
          <w:rFonts w:ascii="Calibri" w:hAnsi="Calibri" w:cs="Calibri"/>
          <w:sz w:val="22"/>
          <w:szCs w:val="22"/>
        </w:rPr>
      </w:pPr>
      <w:r w:rsidRPr="007211BB">
        <w:rPr>
          <w:rFonts w:ascii="Calibri" w:hAnsi="Calibri" w:cs="Calibri"/>
          <w:sz w:val="22"/>
          <w:szCs w:val="22"/>
        </w:rPr>
        <w:t xml:space="preserve">Policy DM20 (Allocations Plan) - Historic Assets </w:t>
      </w:r>
    </w:p>
    <w:p w14:paraId="3946849E" w14:textId="77777777" w:rsidR="007211BB" w:rsidRDefault="00B12D34" w:rsidP="007211BB">
      <w:pPr>
        <w:jc w:val="both"/>
        <w:rPr>
          <w:rFonts w:ascii="Calibri" w:hAnsi="Calibri" w:cs="Calibri"/>
          <w:b/>
          <w:bCs/>
          <w:sz w:val="22"/>
          <w:szCs w:val="22"/>
        </w:rPr>
      </w:pPr>
      <w:r w:rsidRPr="00493D1E">
        <w:rPr>
          <w:rFonts w:ascii="Calibri" w:hAnsi="Calibri" w:cs="Calibri"/>
          <w:b/>
          <w:bCs/>
          <w:sz w:val="22"/>
          <w:szCs w:val="22"/>
          <w:highlight w:val="lightGray"/>
        </w:rPr>
        <w:t xml:space="preserve">Assessment </w:t>
      </w:r>
    </w:p>
    <w:p w14:paraId="7A834D93" w14:textId="24630F1C" w:rsidR="000C71DD" w:rsidRDefault="000C71DD" w:rsidP="000C71DD">
      <w:pPr>
        <w:jc w:val="both"/>
        <w:rPr>
          <w:rFonts w:ascii="Calibri" w:hAnsi="Calibri" w:cs="Calibri"/>
          <w:sz w:val="22"/>
          <w:szCs w:val="22"/>
        </w:rPr>
      </w:pPr>
      <w:r w:rsidRPr="000C71DD">
        <w:rPr>
          <w:rFonts w:ascii="Calibri" w:hAnsi="Calibri" w:cs="Calibri"/>
          <w:sz w:val="22"/>
          <w:szCs w:val="22"/>
        </w:rPr>
        <w:t xml:space="preserve">The application site is immediately adjacent to the Old Bedhampton Conservation Area – Character Area </w:t>
      </w:r>
      <w:r>
        <w:rPr>
          <w:rFonts w:ascii="Calibri" w:hAnsi="Calibri" w:cs="Calibri"/>
          <w:sz w:val="22"/>
          <w:szCs w:val="22"/>
        </w:rPr>
        <w:t xml:space="preserve">4. It is therefore directly within the setting of the conservation area. As such, the statutory test with S72 of the Planning </w:t>
      </w:r>
      <w:r w:rsidRPr="00384198">
        <w:rPr>
          <w:rFonts w:ascii="Calibri" w:hAnsi="Calibri" w:cs="Calibri"/>
          <w:sz w:val="22"/>
          <w:szCs w:val="22"/>
        </w:rPr>
        <w:t>(Listed Buildings and Conservation Areas) Act 1990 ("1990 Act")</w:t>
      </w:r>
      <w:r>
        <w:rPr>
          <w:rFonts w:ascii="Calibri" w:hAnsi="Calibri" w:cs="Calibri"/>
          <w:sz w:val="22"/>
          <w:szCs w:val="22"/>
        </w:rPr>
        <w:t xml:space="preserve"> applies. This being that </w:t>
      </w:r>
      <w:r w:rsidRPr="007A1F9B">
        <w:rPr>
          <w:rFonts w:ascii="Calibri" w:hAnsi="Calibri" w:cs="Calibri"/>
          <w:sz w:val="22"/>
          <w:szCs w:val="22"/>
        </w:rPr>
        <w:t xml:space="preserve">planning authorities, when considering whether to grant planning permission for development which affects a Conservation Area, </w:t>
      </w:r>
      <w:r>
        <w:rPr>
          <w:rFonts w:ascii="Calibri" w:hAnsi="Calibri" w:cs="Calibri"/>
          <w:sz w:val="22"/>
          <w:szCs w:val="22"/>
        </w:rPr>
        <w:t xml:space="preserve">must </w:t>
      </w:r>
      <w:r w:rsidRPr="007A1F9B">
        <w:rPr>
          <w:rFonts w:ascii="Calibri" w:hAnsi="Calibri" w:cs="Calibri"/>
          <w:sz w:val="22"/>
          <w:szCs w:val="22"/>
        </w:rPr>
        <w:t>have special regard to the desirability of preserving or enhancing the character and appearance of that area.</w:t>
      </w:r>
    </w:p>
    <w:p w14:paraId="420CD100" w14:textId="77777777" w:rsidR="00860ACF" w:rsidRDefault="00860ACF" w:rsidP="000C71DD">
      <w:pPr>
        <w:jc w:val="both"/>
        <w:rPr>
          <w:rFonts w:ascii="Calibri" w:hAnsi="Calibri" w:cs="Calibri"/>
          <w:sz w:val="22"/>
          <w:szCs w:val="22"/>
        </w:rPr>
      </w:pPr>
    </w:p>
    <w:p w14:paraId="609011CF" w14:textId="0B8EC7B5" w:rsidR="00867C99" w:rsidRDefault="00867C99" w:rsidP="000C71DD">
      <w:pPr>
        <w:jc w:val="both"/>
        <w:rPr>
          <w:rFonts w:ascii="Calibri" w:hAnsi="Calibri" w:cs="Calibri"/>
          <w:sz w:val="22"/>
          <w:szCs w:val="22"/>
        </w:rPr>
      </w:pPr>
      <w:r>
        <w:rPr>
          <w:rFonts w:ascii="Calibri" w:hAnsi="Calibri" w:cs="Calibri"/>
          <w:sz w:val="22"/>
          <w:szCs w:val="22"/>
        </w:rPr>
        <w:lastRenderedPageBreak/>
        <w:t>Further along from the site on the south side of Bedhampton Road is a Grade II listed building – the Bedhampton Arts Centre</w:t>
      </w:r>
      <w:r w:rsidR="00860ACF">
        <w:rPr>
          <w:rFonts w:ascii="Calibri" w:hAnsi="Calibri" w:cs="Calibri"/>
          <w:sz w:val="22"/>
          <w:szCs w:val="22"/>
        </w:rPr>
        <w:t xml:space="preserve">. However, due to the intervening development and the road, it is considered that this heritage asset would be unaffected by the proposal. </w:t>
      </w:r>
    </w:p>
    <w:p w14:paraId="32952AC1" w14:textId="16F5FE7F" w:rsidR="000A6F1E" w:rsidRDefault="000C71DD" w:rsidP="000C71DD">
      <w:pPr>
        <w:jc w:val="both"/>
        <w:rPr>
          <w:rFonts w:ascii="Calibri" w:hAnsi="Calibri" w:cs="Calibri"/>
          <w:sz w:val="22"/>
          <w:szCs w:val="22"/>
        </w:rPr>
      </w:pPr>
      <w:r>
        <w:rPr>
          <w:rFonts w:ascii="Calibri" w:hAnsi="Calibri" w:cs="Calibri"/>
          <w:sz w:val="22"/>
          <w:szCs w:val="22"/>
        </w:rPr>
        <w:t xml:space="preserve">The proposal is for the conversion of the </w:t>
      </w:r>
      <w:r w:rsidRPr="000C71DD">
        <w:rPr>
          <w:rFonts w:ascii="Calibri" w:hAnsi="Calibri" w:cs="Calibri"/>
          <w:sz w:val="22"/>
          <w:szCs w:val="22"/>
        </w:rPr>
        <w:t xml:space="preserve">existing upper floor into two flats, a rear extension, extension of the ground floor commercial unit, and the construction of a chalet bungalow to the rear of the site. </w:t>
      </w:r>
      <w:r w:rsidR="000A6F1E">
        <w:rPr>
          <w:rFonts w:ascii="Calibri" w:hAnsi="Calibri" w:cs="Calibri"/>
          <w:sz w:val="22"/>
          <w:szCs w:val="22"/>
        </w:rPr>
        <w:t xml:space="preserve">As the proposed works are limited to the rear of the building and overall site, they would have </w:t>
      </w:r>
      <w:r w:rsidR="00860ACF">
        <w:rPr>
          <w:rFonts w:ascii="Calibri" w:hAnsi="Calibri" w:cs="Calibri"/>
          <w:sz w:val="22"/>
          <w:szCs w:val="22"/>
        </w:rPr>
        <w:t>limited visibility from public views</w:t>
      </w:r>
      <w:r w:rsidR="005B272C">
        <w:rPr>
          <w:rFonts w:ascii="Calibri" w:hAnsi="Calibri" w:cs="Calibri"/>
          <w:sz w:val="22"/>
          <w:szCs w:val="22"/>
        </w:rPr>
        <w:t xml:space="preserve"> on Bedhampton Road</w:t>
      </w:r>
      <w:r w:rsidR="000A6F1E">
        <w:rPr>
          <w:rFonts w:ascii="Calibri" w:hAnsi="Calibri" w:cs="Calibri"/>
          <w:sz w:val="22"/>
          <w:szCs w:val="22"/>
        </w:rPr>
        <w:t>. It is also noted that the</w:t>
      </w:r>
      <w:r w:rsidR="000A6F1E">
        <w:rPr>
          <w:rFonts w:ascii="Calibri" w:hAnsi="Calibri" w:cs="Calibri"/>
          <w:sz w:val="22"/>
          <w:szCs w:val="22"/>
        </w:rPr>
        <w:t xml:space="preserve"> front elevation of the building</w:t>
      </w:r>
      <w:r w:rsidR="000A6F1E">
        <w:rPr>
          <w:rFonts w:ascii="Calibri" w:hAnsi="Calibri" w:cs="Calibri"/>
          <w:sz w:val="22"/>
          <w:szCs w:val="22"/>
        </w:rPr>
        <w:t xml:space="preserve">, which is most visible with the context of the adjacent conservation area, </w:t>
      </w:r>
      <w:r w:rsidR="000A6F1E">
        <w:rPr>
          <w:rFonts w:ascii="Calibri" w:hAnsi="Calibri" w:cs="Calibri"/>
          <w:sz w:val="22"/>
          <w:szCs w:val="22"/>
        </w:rPr>
        <w:t>w</w:t>
      </w:r>
      <w:r w:rsidR="000A6F1E">
        <w:rPr>
          <w:rFonts w:ascii="Calibri" w:hAnsi="Calibri" w:cs="Calibri"/>
          <w:sz w:val="22"/>
          <w:szCs w:val="22"/>
        </w:rPr>
        <w:t>ould</w:t>
      </w:r>
      <w:r w:rsidR="000A6F1E">
        <w:rPr>
          <w:rFonts w:ascii="Calibri" w:hAnsi="Calibri" w:cs="Calibri"/>
          <w:sz w:val="22"/>
          <w:szCs w:val="22"/>
        </w:rPr>
        <w:t xml:space="preserve"> remain unaltered</w:t>
      </w:r>
      <w:r w:rsidR="000A6F1E">
        <w:rPr>
          <w:rFonts w:ascii="Calibri" w:hAnsi="Calibri" w:cs="Calibri"/>
          <w:sz w:val="22"/>
          <w:szCs w:val="22"/>
        </w:rPr>
        <w:t xml:space="preserve">. As such, the impact </w:t>
      </w:r>
      <w:r w:rsidR="005B272C">
        <w:rPr>
          <w:rFonts w:ascii="Calibri" w:hAnsi="Calibri" w:cs="Calibri"/>
          <w:sz w:val="22"/>
          <w:szCs w:val="22"/>
        </w:rPr>
        <w:t xml:space="preserve">of the proposal </w:t>
      </w:r>
      <w:r w:rsidR="000A6F1E">
        <w:rPr>
          <w:rFonts w:ascii="Calibri" w:hAnsi="Calibri" w:cs="Calibri"/>
          <w:sz w:val="22"/>
          <w:szCs w:val="22"/>
        </w:rPr>
        <w:t xml:space="preserve">on the conservation area, </w:t>
      </w:r>
      <w:r w:rsidR="005B272C">
        <w:rPr>
          <w:rFonts w:ascii="Calibri" w:hAnsi="Calibri" w:cs="Calibri"/>
          <w:sz w:val="22"/>
          <w:szCs w:val="22"/>
        </w:rPr>
        <w:t>(</w:t>
      </w:r>
      <w:r w:rsidR="000A6F1E">
        <w:rPr>
          <w:rFonts w:ascii="Calibri" w:hAnsi="Calibri" w:cs="Calibri"/>
          <w:sz w:val="22"/>
          <w:szCs w:val="22"/>
        </w:rPr>
        <w:t>as a designated heritage asset</w:t>
      </w:r>
      <w:r w:rsidR="005B272C">
        <w:rPr>
          <w:rFonts w:ascii="Calibri" w:hAnsi="Calibri" w:cs="Calibri"/>
          <w:sz w:val="22"/>
          <w:szCs w:val="22"/>
        </w:rPr>
        <w:t>)</w:t>
      </w:r>
      <w:r w:rsidR="000A6F1E">
        <w:rPr>
          <w:rFonts w:ascii="Calibri" w:hAnsi="Calibri" w:cs="Calibri"/>
          <w:sz w:val="22"/>
          <w:szCs w:val="22"/>
        </w:rPr>
        <w:t>, would not result in harm to the significance of that asset, part of which is the ability to appreciate the streestcene of Character Area 4, which comprises a mixture of more historic buildings, harmoniously within the grain of more recent, urban development</w:t>
      </w:r>
      <w:r w:rsidR="005B272C">
        <w:rPr>
          <w:rFonts w:ascii="Calibri" w:hAnsi="Calibri" w:cs="Calibri"/>
          <w:sz w:val="22"/>
          <w:szCs w:val="22"/>
        </w:rPr>
        <w:t xml:space="preserve">, from Bedhampton Road. </w:t>
      </w:r>
    </w:p>
    <w:p w14:paraId="2122BB4D" w14:textId="15FBB964" w:rsidR="008D6E35" w:rsidRDefault="000A6F1E" w:rsidP="000C71DD">
      <w:pPr>
        <w:jc w:val="both"/>
        <w:rPr>
          <w:rFonts w:ascii="Calibri" w:hAnsi="Calibri" w:cs="Calibri"/>
          <w:sz w:val="22"/>
          <w:szCs w:val="22"/>
        </w:rPr>
      </w:pPr>
      <w:r>
        <w:rPr>
          <w:rFonts w:ascii="Calibri" w:hAnsi="Calibri" w:cs="Calibri"/>
          <w:sz w:val="22"/>
          <w:szCs w:val="22"/>
        </w:rPr>
        <w:t xml:space="preserve">Furthermore, the design of the proposed extension and dwelling, is of an architectural style which does not conflict with the predominantly traditional style buildings and therefore, even from the limited visibility vantage points (i.e. glimpsed views, or views from rear windows), the proposals would not detract from the adjacent conservation area. </w:t>
      </w:r>
    </w:p>
    <w:p w14:paraId="3533590E" w14:textId="5C758EF6" w:rsidR="000A6F1E" w:rsidRDefault="000A6F1E" w:rsidP="000C71DD">
      <w:pPr>
        <w:jc w:val="both"/>
        <w:rPr>
          <w:rFonts w:ascii="Calibri" w:hAnsi="Calibri" w:cs="Calibri"/>
          <w:sz w:val="22"/>
          <w:szCs w:val="22"/>
        </w:rPr>
      </w:pPr>
      <w:r>
        <w:rPr>
          <w:rFonts w:ascii="Calibri" w:hAnsi="Calibri" w:cs="Calibri"/>
          <w:sz w:val="22"/>
          <w:szCs w:val="22"/>
        </w:rPr>
        <w:t xml:space="preserve">Overall therefore, taking into consideration the test set out in S72 of the 1990 Act, the relevant policies in the NPPF and Local Plan, it is considered that the proposed development would not result in harm to the Old Bedhampton Conservation Area and as such, no objection is raised. </w:t>
      </w:r>
    </w:p>
    <w:p w14:paraId="6D3D8C38" w14:textId="77777777" w:rsidR="00895769" w:rsidRDefault="00A93B74" w:rsidP="00EA2D36">
      <w:pPr>
        <w:jc w:val="both"/>
        <w:rPr>
          <w:rFonts w:ascii="Calibri" w:hAnsi="Calibri" w:cs="Calibri"/>
          <w:b/>
          <w:bCs/>
          <w:color w:val="0B0C0C"/>
          <w:sz w:val="22"/>
          <w:szCs w:val="22"/>
          <w:shd w:val="clear" w:color="auto" w:fill="FFFFFF"/>
        </w:rPr>
      </w:pPr>
      <w:r w:rsidRPr="003F6414">
        <w:rPr>
          <w:rFonts w:ascii="Calibri" w:hAnsi="Calibri" w:cs="Calibri"/>
          <w:b/>
          <w:bCs/>
          <w:color w:val="0B0C0C"/>
          <w:sz w:val="22"/>
          <w:szCs w:val="22"/>
          <w:shd w:val="clear" w:color="auto" w:fill="FFFFFF"/>
        </w:rPr>
        <w:t>Conclusion</w:t>
      </w:r>
    </w:p>
    <w:p w14:paraId="6B639DE9" w14:textId="0062A902" w:rsidR="00C74F38" w:rsidRDefault="00C74F38" w:rsidP="00297DA4">
      <w:pPr>
        <w:jc w:val="both"/>
        <w:rPr>
          <w:rFonts w:ascii="Calibri" w:hAnsi="Calibri" w:cs="Calibri"/>
          <w:b/>
          <w:bCs/>
          <w:color w:val="0B0C0C"/>
          <w:sz w:val="22"/>
          <w:szCs w:val="22"/>
          <w:shd w:val="clear" w:color="auto" w:fill="FFFFFF"/>
        </w:rPr>
      </w:pPr>
      <w:r>
        <w:rPr>
          <w:rFonts w:ascii="Calibri" w:hAnsi="Calibri" w:cs="Calibri"/>
          <w:b/>
          <w:bCs/>
          <w:color w:val="0B0C0C"/>
          <w:sz w:val="22"/>
          <w:szCs w:val="22"/>
          <w:shd w:val="clear" w:color="auto" w:fill="FFFFFF"/>
        </w:rPr>
        <w:t xml:space="preserve">NO </w:t>
      </w:r>
      <w:r w:rsidR="00A93B74" w:rsidRPr="003F6414">
        <w:rPr>
          <w:rFonts w:ascii="Calibri" w:hAnsi="Calibri" w:cs="Calibri"/>
          <w:b/>
          <w:bCs/>
          <w:color w:val="0B0C0C"/>
          <w:sz w:val="22"/>
          <w:szCs w:val="22"/>
          <w:shd w:val="clear" w:color="auto" w:fill="FFFFFF"/>
        </w:rPr>
        <w:t>OBJECTION</w:t>
      </w:r>
      <w:r w:rsidR="00A93B74" w:rsidRPr="00EA2D36">
        <w:rPr>
          <w:rFonts w:ascii="Calibri" w:hAnsi="Calibri" w:cs="Calibri"/>
          <w:b/>
          <w:bCs/>
          <w:color w:val="0B0C0C"/>
          <w:sz w:val="22"/>
          <w:szCs w:val="22"/>
          <w:shd w:val="clear" w:color="auto" w:fill="FFFFFF"/>
        </w:rPr>
        <w:t xml:space="preserve"> </w:t>
      </w:r>
      <w:r w:rsidR="00384198" w:rsidRPr="00384198">
        <w:rPr>
          <w:rFonts w:ascii="Calibri" w:hAnsi="Calibri" w:cs="Calibri"/>
          <w:color w:val="0B0C0C"/>
          <w:sz w:val="22"/>
          <w:szCs w:val="22"/>
          <w:shd w:val="clear" w:color="auto" w:fill="FFFFFF"/>
        </w:rPr>
        <w:t>subject to the following conditions:</w:t>
      </w:r>
      <w:r w:rsidR="00384198">
        <w:rPr>
          <w:rFonts w:ascii="Calibri" w:hAnsi="Calibri" w:cs="Calibri"/>
          <w:b/>
          <w:bCs/>
          <w:color w:val="0B0C0C"/>
          <w:sz w:val="22"/>
          <w:szCs w:val="22"/>
          <w:shd w:val="clear" w:color="auto" w:fill="FFFFFF"/>
        </w:rPr>
        <w:t xml:space="preserve"> </w:t>
      </w:r>
    </w:p>
    <w:p w14:paraId="02E381B6" w14:textId="34182057" w:rsidR="00384198" w:rsidRPr="00384198" w:rsidRDefault="00384198" w:rsidP="00384198">
      <w:pPr>
        <w:pStyle w:val="ListParagraph"/>
        <w:numPr>
          <w:ilvl w:val="0"/>
          <w:numId w:val="15"/>
        </w:numPr>
        <w:jc w:val="both"/>
        <w:rPr>
          <w:rFonts w:ascii="Calibri" w:hAnsi="Calibri" w:cs="Calibri"/>
          <w:sz w:val="22"/>
          <w:szCs w:val="22"/>
        </w:rPr>
      </w:pPr>
      <w:r w:rsidRPr="00384198">
        <w:rPr>
          <w:rFonts w:ascii="Calibri" w:hAnsi="Calibri" w:cs="Calibri"/>
          <w:sz w:val="22"/>
          <w:szCs w:val="22"/>
        </w:rPr>
        <w:t>No development shall commence until details and samples of all external facing materials to be used in the construction of the development have been submitted to and approved in writing by the Local Planning Authority. The development shall thereafter be carried out in accordance with the approved details.</w:t>
      </w:r>
    </w:p>
    <w:p w14:paraId="3BBC1113" w14:textId="77777777" w:rsidR="00384198" w:rsidRDefault="00384198" w:rsidP="00384198">
      <w:pPr>
        <w:pStyle w:val="ListParagraph"/>
        <w:jc w:val="both"/>
        <w:rPr>
          <w:rFonts w:ascii="Calibri" w:hAnsi="Calibri" w:cs="Calibri"/>
          <w:sz w:val="22"/>
          <w:szCs w:val="22"/>
        </w:rPr>
      </w:pPr>
    </w:p>
    <w:p w14:paraId="4EE7E0E3" w14:textId="77777777" w:rsidR="00384198" w:rsidRPr="00A1734B" w:rsidRDefault="00384198" w:rsidP="00F076A6">
      <w:pPr>
        <w:pStyle w:val="ListParagraph"/>
        <w:jc w:val="both"/>
        <w:rPr>
          <w:rFonts w:ascii="Calibri" w:hAnsi="Calibri" w:cs="Calibri"/>
          <w:color w:val="0B0C0C"/>
          <w:sz w:val="22"/>
          <w:szCs w:val="22"/>
          <w:shd w:val="clear" w:color="auto" w:fill="FFFFFF"/>
        </w:rPr>
      </w:pPr>
    </w:p>
    <w:sectPr w:rsidR="00384198" w:rsidRPr="00A173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M Sans">
    <w:charset w:val="00"/>
    <w:family w:val="auto"/>
    <w:pitch w:val="variable"/>
    <w:sig w:usb0="8000002F" w:usb1="5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052C"/>
    <w:multiLevelType w:val="hybridMultilevel"/>
    <w:tmpl w:val="8662D6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867A05"/>
    <w:multiLevelType w:val="hybridMultilevel"/>
    <w:tmpl w:val="B81EE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A5202"/>
    <w:multiLevelType w:val="hybridMultilevel"/>
    <w:tmpl w:val="E1949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BB2965"/>
    <w:multiLevelType w:val="hybridMultilevel"/>
    <w:tmpl w:val="017EB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D8312D"/>
    <w:multiLevelType w:val="hybridMultilevel"/>
    <w:tmpl w:val="9AE280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553047"/>
    <w:multiLevelType w:val="hybridMultilevel"/>
    <w:tmpl w:val="ED8475DC"/>
    <w:lvl w:ilvl="0" w:tplc="CC127626">
      <w:start w:val="1"/>
      <w:numFmt w:val="decimal"/>
      <w:lvlText w:val="%1."/>
      <w:lvlJc w:val="left"/>
      <w:pPr>
        <w:ind w:left="720" w:hanging="360"/>
      </w:pPr>
      <w:rPr>
        <w:rFonts w:hint="default"/>
        <w:color w:val="0B0C0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9D1D8D"/>
    <w:multiLevelType w:val="hybridMultilevel"/>
    <w:tmpl w:val="9188B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AE202A"/>
    <w:multiLevelType w:val="hybridMultilevel"/>
    <w:tmpl w:val="1F4AB8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DE6CAE"/>
    <w:multiLevelType w:val="hybridMultilevel"/>
    <w:tmpl w:val="E9EEE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18934EC"/>
    <w:multiLevelType w:val="hybridMultilevel"/>
    <w:tmpl w:val="E016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88131D"/>
    <w:multiLevelType w:val="multilevel"/>
    <w:tmpl w:val="D24C351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1" w15:restartNumberingAfterBreak="0">
    <w:nsid w:val="57692FD2"/>
    <w:multiLevelType w:val="hybridMultilevel"/>
    <w:tmpl w:val="8D3CA0A0"/>
    <w:lvl w:ilvl="0" w:tplc="B6A211F6">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C816DC"/>
    <w:multiLevelType w:val="hybridMultilevel"/>
    <w:tmpl w:val="DE001E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AC165D3"/>
    <w:multiLevelType w:val="hybridMultilevel"/>
    <w:tmpl w:val="1C44DA40"/>
    <w:lvl w:ilvl="0" w:tplc="81948934">
      <w:start w:val="1"/>
      <w:numFmt w:val="decimal"/>
      <w:lvlText w:val="%1."/>
      <w:lvlJc w:val="left"/>
      <w:pPr>
        <w:ind w:left="720" w:hanging="360"/>
      </w:pPr>
      <w:rPr>
        <w:rFonts w:ascii="Calibri" w:hAnsi="Calibri" w:cs="Calibri" w:hint="default"/>
        <w:color w:val="0B0C0C"/>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BB50ACD"/>
    <w:multiLevelType w:val="hybridMultilevel"/>
    <w:tmpl w:val="9F481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9590F2C"/>
    <w:multiLevelType w:val="hybridMultilevel"/>
    <w:tmpl w:val="571ADC40"/>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11923702">
    <w:abstractNumId w:val="6"/>
  </w:num>
  <w:num w:numId="2" w16cid:durableId="751972753">
    <w:abstractNumId w:val="14"/>
  </w:num>
  <w:num w:numId="3" w16cid:durableId="1809206664">
    <w:abstractNumId w:val="7"/>
  </w:num>
  <w:num w:numId="4" w16cid:durableId="2032418738">
    <w:abstractNumId w:val="9"/>
  </w:num>
  <w:num w:numId="5" w16cid:durableId="887572044">
    <w:abstractNumId w:val="4"/>
  </w:num>
  <w:num w:numId="6" w16cid:durableId="315845238">
    <w:abstractNumId w:val="8"/>
  </w:num>
  <w:num w:numId="7" w16cid:durableId="159973812">
    <w:abstractNumId w:val="2"/>
  </w:num>
  <w:num w:numId="8" w16cid:durableId="1633057636">
    <w:abstractNumId w:val="1"/>
  </w:num>
  <w:num w:numId="9" w16cid:durableId="999768810">
    <w:abstractNumId w:val="13"/>
  </w:num>
  <w:num w:numId="10" w16cid:durableId="979652522">
    <w:abstractNumId w:val="12"/>
  </w:num>
  <w:num w:numId="11" w16cid:durableId="1415201962">
    <w:abstractNumId w:val="3"/>
  </w:num>
  <w:num w:numId="12" w16cid:durableId="2146316439">
    <w:abstractNumId w:val="0"/>
  </w:num>
  <w:num w:numId="13" w16cid:durableId="825054858">
    <w:abstractNumId w:val="15"/>
  </w:num>
  <w:num w:numId="14" w16cid:durableId="566385255">
    <w:abstractNumId w:val="11"/>
  </w:num>
  <w:num w:numId="15" w16cid:durableId="2001959659">
    <w:abstractNumId w:val="5"/>
  </w:num>
  <w:num w:numId="16" w16cid:durableId="12727398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34"/>
    <w:rsid w:val="000010F6"/>
    <w:rsid w:val="0000221E"/>
    <w:rsid w:val="00003B6E"/>
    <w:rsid w:val="00023651"/>
    <w:rsid w:val="00031172"/>
    <w:rsid w:val="00032BAD"/>
    <w:rsid w:val="00040242"/>
    <w:rsid w:val="0005270D"/>
    <w:rsid w:val="00095660"/>
    <w:rsid w:val="000A6F1E"/>
    <w:rsid w:val="000B007A"/>
    <w:rsid w:val="000B3B84"/>
    <w:rsid w:val="000C71DD"/>
    <w:rsid w:val="001138CB"/>
    <w:rsid w:val="0012767B"/>
    <w:rsid w:val="00133A51"/>
    <w:rsid w:val="00136C77"/>
    <w:rsid w:val="0014625B"/>
    <w:rsid w:val="00181232"/>
    <w:rsid w:val="00195710"/>
    <w:rsid w:val="00195CB1"/>
    <w:rsid w:val="00195D83"/>
    <w:rsid w:val="00214695"/>
    <w:rsid w:val="0021656A"/>
    <w:rsid w:val="00234D2D"/>
    <w:rsid w:val="0025513C"/>
    <w:rsid w:val="002727E7"/>
    <w:rsid w:val="00297DA4"/>
    <w:rsid w:val="002A25D7"/>
    <w:rsid w:val="002A3726"/>
    <w:rsid w:val="002D7F26"/>
    <w:rsid w:val="002E1136"/>
    <w:rsid w:val="002E5E23"/>
    <w:rsid w:val="002E7663"/>
    <w:rsid w:val="002F6E50"/>
    <w:rsid w:val="00300B12"/>
    <w:rsid w:val="00302359"/>
    <w:rsid w:val="0033167B"/>
    <w:rsid w:val="00343DA8"/>
    <w:rsid w:val="0036746C"/>
    <w:rsid w:val="00384198"/>
    <w:rsid w:val="003B4A51"/>
    <w:rsid w:val="003D72C2"/>
    <w:rsid w:val="003F58EF"/>
    <w:rsid w:val="003F6414"/>
    <w:rsid w:val="004160C5"/>
    <w:rsid w:val="004377FB"/>
    <w:rsid w:val="004458F7"/>
    <w:rsid w:val="00463DFD"/>
    <w:rsid w:val="00474EE8"/>
    <w:rsid w:val="00493D1E"/>
    <w:rsid w:val="004C6E91"/>
    <w:rsid w:val="004E41DC"/>
    <w:rsid w:val="004F61DA"/>
    <w:rsid w:val="005225AA"/>
    <w:rsid w:val="00535273"/>
    <w:rsid w:val="00580A86"/>
    <w:rsid w:val="00586210"/>
    <w:rsid w:val="005A249C"/>
    <w:rsid w:val="005A2565"/>
    <w:rsid w:val="005B272C"/>
    <w:rsid w:val="005B4CB4"/>
    <w:rsid w:val="005E0EF9"/>
    <w:rsid w:val="005E3299"/>
    <w:rsid w:val="005E535E"/>
    <w:rsid w:val="00616599"/>
    <w:rsid w:val="00620808"/>
    <w:rsid w:val="00621CC0"/>
    <w:rsid w:val="00630130"/>
    <w:rsid w:val="00634D74"/>
    <w:rsid w:val="00643EBE"/>
    <w:rsid w:val="00675137"/>
    <w:rsid w:val="00696C56"/>
    <w:rsid w:val="006E213E"/>
    <w:rsid w:val="006F1D88"/>
    <w:rsid w:val="007211BB"/>
    <w:rsid w:val="007639A2"/>
    <w:rsid w:val="00767FF8"/>
    <w:rsid w:val="00793F9F"/>
    <w:rsid w:val="0079536D"/>
    <w:rsid w:val="007A1F9B"/>
    <w:rsid w:val="007A5D91"/>
    <w:rsid w:val="007C6765"/>
    <w:rsid w:val="007F3519"/>
    <w:rsid w:val="00860ACF"/>
    <w:rsid w:val="00867C99"/>
    <w:rsid w:val="00895769"/>
    <w:rsid w:val="008A4CAB"/>
    <w:rsid w:val="008C7E14"/>
    <w:rsid w:val="008D6E35"/>
    <w:rsid w:val="008D7E97"/>
    <w:rsid w:val="009006FC"/>
    <w:rsid w:val="009070B4"/>
    <w:rsid w:val="009369E8"/>
    <w:rsid w:val="00937EA4"/>
    <w:rsid w:val="00966EE6"/>
    <w:rsid w:val="00970669"/>
    <w:rsid w:val="009769E7"/>
    <w:rsid w:val="00985F88"/>
    <w:rsid w:val="009A6F4C"/>
    <w:rsid w:val="009B1742"/>
    <w:rsid w:val="009F709F"/>
    <w:rsid w:val="00A168BE"/>
    <w:rsid w:val="00A1734B"/>
    <w:rsid w:val="00A30910"/>
    <w:rsid w:val="00A52F89"/>
    <w:rsid w:val="00A62287"/>
    <w:rsid w:val="00A642F1"/>
    <w:rsid w:val="00A75182"/>
    <w:rsid w:val="00A91BB3"/>
    <w:rsid w:val="00A93B74"/>
    <w:rsid w:val="00B12D34"/>
    <w:rsid w:val="00B335BB"/>
    <w:rsid w:val="00B374C1"/>
    <w:rsid w:val="00B4729B"/>
    <w:rsid w:val="00BC03D2"/>
    <w:rsid w:val="00C07F8C"/>
    <w:rsid w:val="00C12ECA"/>
    <w:rsid w:val="00C136C4"/>
    <w:rsid w:val="00C149E6"/>
    <w:rsid w:val="00C319BF"/>
    <w:rsid w:val="00C330DE"/>
    <w:rsid w:val="00C37ED6"/>
    <w:rsid w:val="00C40534"/>
    <w:rsid w:val="00C678DA"/>
    <w:rsid w:val="00C7362F"/>
    <w:rsid w:val="00C74F38"/>
    <w:rsid w:val="00CD18F5"/>
    <w:rsid w:val="00CE40AC"/>
    <w:rsid w:val="00CF7992"/>
    <w:rsid w:val="00D132BD"/>
    <w:rsid w:val="00D376DF"/>
    <w:rsid w:val="00E10407"/>
    <w:rsid w:val="00E26773"/>
    <w:rsid w:val="00E30347"/>
    <w:rsid w:val="00E36884"/>
    <w:rsid w:val="00E426F2"/>
    <w:rsid w:val="00E439DC"/>
    <w:rsid w:val="00E96105"/>
    <w:rsid w:val="00EA049F"/>
    <w:rsid w:val="00EA2D36"/>
    <w:rsid w:val="00F04F9B"/>
    <w:rsid w:val="00F076A6"/>
    <w:rsid w:val="00F161D7"/>
    <w:rsid w:val="00F24ED8"/>
    <w:rsid w:val="00F73445"/>
    <w:rsid w:val="00F76CB2"/>
    <w:rsid w:val="00F941D3"/>
    <w:rsid w:val="00FA12C0"/>
    <w:rsid w:val="00FC0674"/>
    <w:rsid w:val="00FC6093"/>
    <w:rsid w:val="00FD30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D60F"/>
  <w15:chartTrackingRefBased/>
  <w15:docId w15:val="{539CBEC6-EC35-4B2A-AED6-E5F1C7F3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D34"/>
    <w:rPr>
      <w:rFonts w:eastAsiaTheme="majorEastAsia" w:cstheme="majorBidi"/>
      <w:color w:val="272727" w:themeColor="text1" w:themeTint="D8"/>
    </w:rPr>
  </w:style>
  <w:style w:type="paragraph" w:styleId="Title">
    <w:name w:val="Title"/>
    <w:basedOn w:val="Normal"/>
    <w:next w:val="Normal"/>
    <w:link w:val="TitleChar"/>
    <w:uiPriority w:val="10"/>
    <w:qFormat/>
    <w:rsid w:val="00B1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D34"/>
    <w:pPr>
      <w:spacing w:before="160"/>
      <w:jc w:val="center"/>
    </w:pPr>
    <w:rPr>
      <w:i/>
      <w:iCs/>
      <w:color w:val="404040" w:themeColor="text1" w:themeTint="BF"/>
    </w:rPr>
  </w:style>
  <w:style w:type="character" w:customStyle="1" w:styleId="QuoteChar">
    <w:name w:val="Quote Char"/>
    <w:basedOn w:val="DefaultParagraphFont"/>
    <w:link w:val="Quote"/>
    <w:uiPriority w:val="29"/>
    <w:rsid w:val="00B12D34"/>
    <w:rPr>
      <w:i/>
      <w:iCs/>
      <w:color w:val="404040" w:themeColor="text1" w:themeTint="BF"/>
    </w:rPr>
  </w:style>
  <w:style w:type="paragraph" w:styleId="ListParagraph">
    <w:name w:val="List Paragraph"/>
    <w:basedOn w:val="Normal"/>
    <w:uiPriority w:val="34"/>
    <w:qFormat/>
    <w:rsid w:val="00B12D34"/>
    <w:pPr>
      <w:ind w:left="720"/>
      <w:contextualSpacing/>
    </w:pPr>
  </w:style>
  <w:style w:type="character" w:styleId="IntenseEmphasis">
    <w:name w:val="Intense Emphasis"/>
    <w:basedOn w:val="DefaultParagraphFont"/>
    <w:uiPriority w:val="21"/>
    <w:qFormat/>
    <w:rsid w:val="00B12D34"/>
    <w:rPr>
      <w:i/>
      <w:iCs/>
      <w:color w:val="0F4761" w:themeColor="accent1" w:themeShade="BF"/>
    </w:rPr>
  </w:style>
  <w:style w:type="paragraph" w:styleId="IntenseQuote">
    <w:name w:val="Intense Quote"/>
    <w:basedOn w:val="Normal"/>
    <w:next w:val="Normal"/>
    <w:link w:val="IntenseQuoteChar"/>
    <w:uiPriority w:val="30"/>
    <w:qFormat/>
    <w:rsid w:val="00B1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D34"/>
    <w:rPr>
      <w:i/>
      <w:iCs/>
      <w:color w:val="0F4761" w:themeColor="accent1" w:themeShade="BF"/>
    </w:rPr>
  </w:style>
  <w:style w:type="character" w:styleId="IntenseReference">
    <w:name w:val="Intense Reference"/>
    <w:basedOn w:val="DefaultParagraphFont"/>
    <w:uiPriority w:val="32"/>
    <w:qFormat/>
    <w:rsid w:val="00B12D34"/>
    <w:rPr>
      <w:b/>
      <w:bCs/>
      <w:smallCaps/>
      <w:color w:val="0F4761" w:themeColor="accent1" w:themeShade="BF"/>
      <w:spacing w:val="5"/>
    </w:rPr>
  </w:style>
  <w:style w:type="paragraph" w:customStyle="1" w:styleId="Normal0">
    <w:name w:val="[Normal]"/>
    <w:uiPriority w:val="99"/>
    <w:rsid w:val="00970669"/>
    <w:pPr>
      <w:autoSpaceDE w:val="0"/>
      <w:autoSpaceDN w:val="0"/>
      <w:adjustRightInd w:val="0"/>
      <w:spacing w:after="0" w:line="240" w:lineRule="auto"/>
    </w:pPr>
    <w:rPr>
      <w:rFonts w:ascii="Arial" w:hAnsi="Arial" w:cs="Arial"/>
      <w:kern w:val="0"/>
    </w:rPr>
  </w:style>
  <w:style w:type="character" w:styleId="CommentReference">
    <w:name w:val="annotation reference"/>
    <w:basedOn w:val="DefaultParagraphFont"/>
    <w:uiPriority w:val="99"/>
    <w:semiHidden/>
    <w:unhideWhenUsed/>
    <w:rsid w:val="0012767B"/>
    <w:rPr>
      <w:sz w:val="16"/>
      <w:szCs w:val="16"/>
    </w:rPr>
  </w:style>
  <w:style w:type="paragraph" w:styleId="CommentText">
    <w:name w:val="annotation text"/>
    <w:basedOn w:val="Normal"/>
    <w:link w:val="CommentTextChar"/>
    <w:uiPriority w:val="99"/>
    <w:unhideWhenUsed/>
    <w:rsid w:val="0012767B"/>
    <w:pPr>
      <w:spacing w:line="240" w:lineRule="auto"/>
    </w:pPr>
    <w:rPr>
      <w:sz w:val="20"/>
      <w:szCs w:val="20"/>
    </w:rPr>
  </w:style>
  <w:style w:type="character" w:customStyle="1" w:styleId="CommentTextChar">
    <w:name w:val="Comment Text Char"/>
    <w:basedOn w:val="DefaultParagraphFont"/>
    <w:link w:val="CommentText"/>
    <w:uiPriority w:val="99"/>
    <w:rsid w:val="0012767B"/>
    <w:rPr>
      <w:sz w:val="20"/>
      <w:szCs w:val="20"/>
    </w:rPr>
  </w:style>
  <w:style w:type="paragraph" w:styleId="CommentSubject">
    <w:name w:val="annotation subject"/>
    <w:basedOn w:val="CommentText"/>
    <w:next w:val="CommentText"/>
    <w:link w:val="CommentSubjectChar"/>
    <w:uiPriority w:val="99"/>
    <w:semiHidden/>
    <w:unhideWhenUsed/>
    <w:rsid w:val="0012767B"/>
    <w:rPr>
      <w:b/>
      <w:bCs/>
    </w:rPr>
  </w:style>
  <w:style w:type="character" w:customStyle="1" w:styleId="CommentSubjectChar">
    <w:name w:val="Comment Subject Char"/>
    <w:basedOn w:val="CommentTextChar"/>
    <w:link w:val="CommentSubject"/>
    <w:uiPriority w:val="99"/>
    <w:semiHidden/>
    <w:rsid w:val="0012767B"/>
    <w:rPr>
      <w:b/>
      <w:bCs/>
      <w:sz w:val="20"/>
      <w:szCs w:val="20"/>
    </w:rPr>
  </w:style>
  <w:style w:type="paragraph" w:styleId="Revision">
    <w:name w:val="Revision"/>
    <w:hidden/>
    <w:uiPriority w:val="99"/>
    <w:semiHidden/>
    <w:rsid w:val="0012767B"/>
    <w:pPr>
      <w:spacing w:after="0" w:line="240" w:lineRule="auto"/>
    </w:pPr>
  </w:style>
  <w:style w:type="paragraph" w:customStyle="1" w:styleId="Default">
    <w:name w:val="Default"/>
    <w:rsid w:val="004458F7"/>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B78FD-AF5D-4246-843D-CE358763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2</Pages>
  <Words>579</Words>
  <Characters>3160</Characters>
  <Application>Microsoft Office Word</Application>
  <DocSecurity>0</DocSecurity>
  <Lines>56</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McMurray</dc:creator>
  <cp:keywords/>
  <dc:description/>
  <cp:lastModifiedBy>McMurray, Rachael</cp:lastModifiedBy>
  <cp:revision>5</cp:revision>
  <dcterms:created xsi:type="dcterms:W3CDTF">2026-07-06T10:02:00Z</dcterms:created>
  <dcterms:modified xsi:type="dcterms:W3CDTF">2026-07-06T13:37:00Z</dcterms:modified>
</cp:coreProperties>
</file>